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sz w:val="24"/>
          <w:highlight w:val="none"/>
        </w:rPr>
      </w:pPr>
      <w:bookmarkStart w:id="0" w:name="_Toc356504158"/>
      <w:bookmarkStart w:id="1" w:name="_Toc321927034"/>
      <w:bookmarkStart w:id="2" w:name="_Toc321926668"/>
      <w:bookmarkStart w:id="3" w:name="_Toc470776148"/>
      <w:bookmarkStart w:id="4" w:name="_Toc536788770"/>
      <w:bookmarkStart w:id="21" w:name="_GoBack"/>
      <w:bookmarkEnd w:id="21"/>
      <w:r>
        <w:rPr>
          <w:rFonts w:hint="eastAsia" w:ascii="宋体" w:hAnsi="宋体"/>
          <w:sz w:val="24"/>
          <w:highlight w:val="none"/>
        </w:rPr>
        <w:t>附件1：</w:t>
      </w:r>
      <w:bookmarkEnd w:id="0"/>
      <w:bookmarkEnd w:id="1"/>
      <w:bookmarkEnd w:id="2"/>
      <w:bookmarkStart w:id="5" w:name="_Toc356504159"/>
      <w:r>
        <w:rPr>
          <w:rFonts w:hint="eastAsia" w:ascii="宋体" w:hAnsi="宋体"/>
          <w:sz w:val="24"/>
          <w:highlight w:val="none"/>
        </w:rPr>
        <w:t>资格审查要求</w:t>
      </w:r>
      <w:bookmarkEnd w:id="3"/>
      <w:bookmarkEnd w:id="4"/>
    </w:p>
    <w:p>
      <w:pPr>
        <w:pStyle w:val="4"/>
        <w:snapToGrid w:val="0"/>
        <w:spacing w:before="100" w:beforeAutospacing="1" w:after="100" w:afterAutospacing="1" w:line="240" w:lineRule="auto"/>
        <w:jc w:val="center"/>
        <w:rPr>
          <w:rFonts w:hint="eastAsia" w:ascii="宋体" w:hAnsi="宋体"/>
          <w:sz w:val="24"/>
          <w:szCs w:val="24"/>
          <w:highlight w:val="none"/>
        </w:rPr>
      </w:pPr>
      <w:bookmarkStart w:id="6" w:name="_Toc29622"/>
      <w:bookmarkStart w:id="7" w:name="_Toc536788771"/>
      <w:r>
        <w:rPr>
          <w:rFonts w:hint="eastAsia" w:ascii="宋体" w:hAnsi="宋体"/>
          <w:sz w:val="24"/>
          <w:szCs w:val="24"/>
          <w:highlight w:val="none"/>
        </w:rPr>
        <w:t>附录1  资质审查条件（资质最低要求）</w:t>
      </w:r>
      <w:bookmarkEnd w:id="6"/>
      <w:bookmarkEnd w:id="7"/>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noWrap w:val="0"/>
            <w:vAlign w:val="center"/>
          </w:tcPr>
          <w:p>
            <w:pPr>
              <w:jc w:val="center"/>
              <w:rPr>
                <w:rFonts w:hint="eastAsia" w:ascii="宋体" w:hAnsi="宋体"/>
                <w:szCs w:val="21"/>
                <w:highlight w:val="none"/>
              </w:rPr>
            </w:pPr>
            <w:r>
              <w:rPr>
                <w:rFonts w:hint="eastAsia" w:ascii="宋体" w:hAnsi="宋体"/>
                <w:b/>
                <w:szCs w:val="21"/>
                <w:highlight w:val="none"/>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4" w:hRule="atLeast"/>
          <w:jc w:val="center"/>
        </w:trPr>
        <w:tc>
          <w:tcPr>
            <w:tcW w:w="8799" w:type="dxa"/>
            <w:noWrap w:val="0"/>
            <w:vAlign w:val="center"/>
          </w:tcPr>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设计资质要求：</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具备独立企业法人资格，持有有效的企业营业执照；</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2）具备住房和城乡建设行政主管部门颁发的工程设计综合甲级资质或</w:t>
            </w:r>
            <w:r>
              <w:rPr>
                <w:rFonts w:hint="eastAsia" w:ascii="宋体" w:hAnsi="宋体" w:eastAsia="宋体" w:cs="宋体"/>
                <w:sz w:val="21"/>
                <w:szCs w:val="21"/>
                <w:highlight w:val="none"/>
              </w:rPr>
              <w:t>电力行业设计（新能源发电）专业乙级及以上资质；</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施工资质要求：</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具备独立企业法人资格，持有有效的企业营业执照；</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具备电力工程施工总承包三级及以上资质或输变电工程专业承包三级及以上资质</w:t>
            </w:r>
            <w:r>
              <w:rPr>
                <w:rFonts w:hint="eastAsia" w:ascii="宋体" w:hAnsi="宋体" w:eastAsia="宋体" w:cs="宋体"/>
                <w:sz w:val="21"/>
                <w:szCs w:val="21"/>
                <w:highlight w:val="none"/>
                <w:lang w:eastAsia="zh-CN"/>
              </w:rPr>
              <w:t>；</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具有住房和城乡建设行政主管部门颁发的有效的安全生产许可证。</w:t>
            </w:r>
          </w:p>
          <w:p>
            <w:pPr>
              <w:pStyle w:val="10"/>
              <w:keepNext w:val="0"/>
              <w:keepLines w:val="0"/>
              <w:pageBreakBefore w:val="0"/>
              <w:widowControl w:val="0"/>
              <w:kinsoku/>
              <w:wordWrap/>
              <w:overflowPunct/>
              <w:topLinePunct w:val="0"/>
              <w:autoSpaceDE/>
              <w:autoSpaceDN/>
              <w:bidi w:val="0"/>
              <w:adjustRightInd/>
              <w:snapToGrid w:val="0"/>
              <w:spacing w:after="0" w:line="240" w:lineRule="auto"/>
              <w:rPr>
                <w:rFonts w:hint="eastAsia"/>
                <w:highlight w:val="none"/>
              </w:rPr>
            </w:pPr>
            <w:r>
              <w:rPr>
                <w:rFonts w:hint="eastAsia" w:ascii="宋体" w:hAnsi="宋体" w:eastAsia="宋体" w:cs="宋体"/>
                <w:sz w:val="21"/>
                <w:szCs w:val="21"/>
                <w:highlight w:val="none"/>
              </w:rPr>
              <w:t xml:space="preserve">以联合体形式投标的，联合体所有成员数量不得超过 2 家。 </w:t>
            </w:r>
          </w:p>
        </w:tc>
      </w:tr>
    </w:tbl>
    <w:p>
      <w:pPr>
        <w:pStyle w:val="4"/>
        <w:spacing w:line="240" w:lineRule="auto"/>
        <w:jc w:val="center"/>
        <w:rPr>
          <w:rFonts w:hint="eastAsia" w:ascii="宋体" w:hAnsi="宋体"/>
          <w:sz w:val="24"/>
          <w:szCs w:val="24"/>
          <w:highlight w:val="none"/>
        </w:rPr>
      </w:pPr>
      <w:bookmarkStart w:id="8" w:name="_Toc536788772"/>
      <w:bookmarkStart w:id="9" w:name="_Toc16592"/>
      <w:r>
        <w:rPr>
          <w:rFonts w:hint="eastAsia" w:ascii="宋体" w:hAnsi="宋体"/>
          <w:sz w:val="24"/>
          <w:szCs w:val="24"/>
          <w:highlight w:val="none"/>
        </w:rPr>
        <w:t>附录2  资质审查条件（业绩最低要求）</w:t>
      </w:r>
      <w:bookmarkEnd w:id="8"/>
      <w:bookmarkEnd w:id="9"/>
      <w:r>
        <w:rPr>
          <w:rFonts w:hint="eastAsia" w:ascii="宋体" w:hAnsi="宋体"/>
          <w:sz w:val="24"/>
          <w:szCs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noWrap w:val="0"/>
            <w:vAlign w:val="center"/>
          </w:tcPr>
          <w:p>
            <w:pPr>
              <w:jc w:val="center"/>
              <w:rPr>
                <w:rFonts w:hint="eastAsia" w:ascii="宋体" w:hAnsi="宋体"/>
                <w:szCs w:val="21"/>
                <w:highlight w:val="none"/>
              </w:rPr>
            </w:pPr>
            <w:r>
              <w:rPr>
                <w:rFonts w:hint="eastAsia" w:ascii="宋体" w:hAnsi="宋体" w:cs="宋体"/>
                <w:b/>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8829" w:type="dxa"/>
            <w:noWrap w:val="0"/>
            <w:vAlign w:val="center"/>
          </w:tcPr>
          <w:p>
            <w:pPr>
              <w:pStyle w:val="3"/>
              <w:pageBreakBefore w:val="0"/>
              <w:widowControl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b w:val="0"/>
                <w:bCs w:val="0"/>
                <w:sz w:val="21"/>
                <w:szCs w:val="21"/>
                <w:highlight w:val="none"/>
                <w:lang w:val="en-US" w:eastAsia="zh-CN"/>
              </w:rPr>
            </w:pPr>
            <w:bookmarkStart w:id="10" w:name="_Toc29278"/>
            <w:r>
              <w:rPr>
                <w:rFonts w:hint="eastAsia" w:ascii="宋体" w:hAnsi="宋体" w:eastAsia="宋体" w:cs="宋体"/>
                <w:b w:val="0"/>
                <w:bCs w:val="0"/>
                <w:sz w:val="21"/>
                <w:szCs w:val="21"/>
                <w:highlight w:val="none"/>
                <w:lang w:val="en-US" w:eastAsia="zh-CN"/>
              </w:rPr>
              <w:t>设计业绩要求：</w:t>
            </w:r>
            <w:bookmarkEnd w:id="10"/>
          </w:p>
          <w:p>
            <w:pPr>
              <w:pStyle w:val="3"/>
              <w:pageBreakBefore w:val="0"/>
              <w:widowControl w:val="0"/>
              <w:kinsoku/>
              <w:wordWrap/>
              <w:overflowPunct/>
              <w:topLinePunct w:val="0"/>
              <w:autoSpaceDE/>
              <w:autoSpaceDN/>
              <w:bidi w:val="0"/>
              <w:adjustRightInd/>
              <w:snapToGrid w:val="0"/>
              <w:spacing w:before="0" w:after="0" w:line="240" w:lineRule="auto"/>
              <w:ind w:firstLine="210" w:firstLineChars="100"/>
              <w:textAlignment w:val="auto"/>
              <w:rPr>
                <w:rFonts w:hint="eastAsia" w:ascii="宋体" w:hAnsi="宋体" w:eastAsia="宋体" w:cs="宋体"/>
                <w:b w:val="0"/>
                <w:bCs w:val="0"/>
                <w:sz w:val="21"/>
                <w:szCs w:val="21"/>
                <w:highlight w:val="none"/>
                <w:lang w:val="en-US" w:eastAsia="zh-CN"/>
              </w:rPr>
            </w:pPr>
            <w:bookmarkStart w:id="11" w:name="_Toc22221"/>
            <w:r>
              <w:rPr>
                <w:rFonts w:hint="eastAsia" w:ascii="宋体" w:hAnsi="宋体" w:eastAsia="宋体" w:cs="宋体"/>
                <w:b w:val="0"/>
                <w:bCs w:val="0"/>
                <w:sz w:val="21"/>
                <w:szCs w:val="21"/>
                <w:highlight w:val="none"/>
                <w:lang w:val="en-US" w:eastAsia="zh-CN"/>
              </w:rPr>
              <w:t>近5年(2017年10月1日至今，以合同签订时间为准)至少完成过1项光伏车棚设计业绩和1项设计容量在1MW以上的分布式光伏设计业绩。</w:t>
            </w:r>
            <w:bookmarkEnd w:id="11"/>
          </w:p>
          <w:p>
            <w:pPr>
              <w:pStyle w:val="3"/>
              <w:pageBreakBefore w:val="0"/>
              <w:widowControl w:val="0"/>
              <w:kinsoku/>
              <w:wordWrap/>
              <w:overflowPunct/>
              <w:topLinePunct w:val="0"/>
              <w:autoSpaceDE/>
              <w:autoSpaceDN/>
              <w:bidi w:val="0"/>
              <w:adjustRightInd/>
              <w:snapToGrid w:val="0"/>
              <w:spacing w:before="0" w:after="0" w:line="240" w:lineRule="auto"/>
              <w:textAlignment w:val="auto"/>
              <w:rPr>
                <w:rFonts w:hint="eastAsia" w:ascii="宋体" w:hAnsi="宋体" w:eastAsia="宋体" w:cs="宋体"/>
                <w:b w:val="0"/>
                <w:bCs w:val="0"/>
                <w:sz w:val="21"/>
                <w:szCs w:val="21"/>
                <w:highlight w:val="none"/>
                <w:lang w:val="en-US" w:eastAsia="zh-CN"/>
              </w:rPr>
            </w:pPr>
            <w:bookmarkStart w:id="12" w:name="_Toc13097"/>
            <w:r>
              <w:rPr>
                <w:rFonts w:hint="eastAsia" w:ascii="宋体" w:hAnsi="宋体" w:eastAsia="宋体" w:cs="宋体"/>
                <w:b w:val="0"/>
                <w:bCs w:val="0"/>
                <w:sz w:val="21"/>
                <w:szCs w:val="21"/>
                <w:highlight w:val="none"/>
                <w:lang w:val="en-US" w:eastAsia="zh-CN"/>
              </w:rPr>
              <w:t>施工业绩要求：</w:t>
            </w:r>
            <w:bookmarkEnd w:id="12"/>
          </w:p>
          <w:p>
            <w:pPr>
              <w:pStyle w:val="3"/>
              <w:pageBreakBefore w:val="0"/>
              <w:widowControl w:val="0"/>
              <w:kinsoku/>
              <w:wordWrap/>
              <w:overflowPunct/>
              <w:topLinePunct w:val="0"/>
              <w:autoSpaceDE/>
              <w:autoSpaceDN/>
              <w:bidi w:val="0"/>
              <w:adjustRightInd/>
              <w:snapToGrid w:val="0"/>
              <w:spacing w:before="0" w:after="0" w:line="240" w:lineRule="auto"/>
              <w:ind w:firstLine="210" w:firstLineChars="100"/>
              <w:textAlignment w:val="auto"/>
              <w:rPr>
                <w:rFonts w:hint="eastAsia" w:ascii="宋体" w:hAnsi="宋体" w:eastAsia="宋体" w:cs="宋体"/>
                <w:b w:val="0"/>
                <w:bCs w:val="0"/>
                <w:sz w:val="21"/>
                <w:szCs w:val="21"/>
                <w:highlight w:val="none"/>
                <w:lang w:val="en-US" w:eastAsia="zh-CN"/>
              </w:rPr>
            </w:pPr>
            <w:bookmarkStart w:id="13" w:name="_Toc25170"/>
            <w:r>
              <w:rPr>
                <w:rFonts w:hint="eastAsia" w:ascii="宋体" w:hAnsi="宋体" w:eastAsia="宋体" w:cs="宋体"/>
                <w:b w:val="0"/>
                <w:bCs w:val="0"/>
                <w:sz w:val="21"/>
                <w:szCs w:val="21"/>
                <w:highlight w:val="none"/>
                <w:lang w:val="en-US" w:eastAsia="zh-CN"/>
              </w:rPr>
              <w:t>近5年内（2017年10月1日至今，以工程（交）竣工时间为准）至少完成过1项电力工程施工项目，且项目投资在1000万以上。</w:t>
            </w:r>
            <w:bookmarkEnd w:id="13"/>
          </w:p>
          <w:p>
            <w:pPr>
              <w:pStyle w:val="3"/>
              <w:pageBreakBefore w:val="0"/>
              <w:widowControl w:val="0"/>
              <w:kinsoku/>
              <w:wordWrap/>
              <w:overflowPunct/>
              <w:topLinePunct w:val="0"/>
              <w:autoSpaceDE/>
              <w:autoSpaceDN/>
              <w:bidi w:val="0"/>
              <w:adjustRightInd/>
              <w:snapToGrid w:val="0"/>
              <w:spacing w:before="0" w:after="0" w:line="240" w:lineRule="auto"/>
              <w:textAlignment w:val="auto"/>
              <w:rPr>
                <w:rFonts w:hint="eastAsia"/>
                <w:highlight w:val="none"/>
              </w:rPr>
            </w:pPr>
            <w:bookmarkStart w:id="14" w:name="_Toc9361"/>
            <w:r>
              <w:rPr>
                <w:rFonts w:hint="eastAsia" w:ascii="宋体" w:hAnsi="宋体" w:eastAsia="宋体" w:cs="宋体"/>
                <w:b w:val="0"/>
                <w:bCs w:val="0"/>
                <w:sz w:val="21"/>
                <w:szCs w:val="21"/>
                <w:highlight w:val="none"/>
                <w:lang w:val="en-US" w:eastAsia="zh-CN"/>
              </w:rPr>
              <w:t>以联合体形式投标的，联合体应满足本项规定的资格条件。</w:t>
            </w:r>
            <w:bookmarkEnd w:id="14"/>
            <w:r>
              <w:rPr>
                <w:rFonts w:hint="eastAsia" w:ascii="宋体" w:hAnsi="宋体" w:eastAsia="宋体" w:cs="宋体"/>
                <w:b w:val="0"/>
                <w:bCs w:val="0"/>
                <w:sz w:val="21"/>
                <w:szCs w:val="21"/>
                <w:highlight w:val="none"/>
                <w:lang w:val="en-US" w:eastAsia="zh-CN"/>
              </w:rPr>
              <w:t xml:space="preserve"> </w:t>
            </w:r>
          </w:p>
        </w:tc>
      </w:tr>
    </w:tbl>
    <w:p>
      <w:pPr>
        <w:pStyle w:val="4"/>
        <w:spacing w:line="240" w:lineRule="auto"/>
        <w:jc w:val="center"/>
        <w:rPr>
          <w:rFonts w:hint="eastAsia" w:ascii="宋体" w:hAnsi="宋体"/>
          <w:highlight w:val="none"/>
        </w:rPr>
      </w:pPr>
      <w:bookmarkStart w:id="15" w:name="_Toc22865"/>
      <w:bookmarkStart w:id="16" w:name="_Toc470776154"/>
      <w:r>
        <w:rPr>
          <w:rFonts w:hint="eastAsia" w:ascii="宋体" w:hAnsi="宋体"/>
          <w:sz w:val="24"/>
          <w:szCs w:val="24"/>
          <w:highlight w:val="none"/>
        </w:rPr>
        <w:t>附录3  资质审查条件（信誉最低要求）</w:t>
      </w:r>
      <w:bookmarkEnd w:id="15"/>
      <w:r>
        <w:rPr>
          <w:rFonts w:hint="eastAsia" w:ascii="宋体" w:hAnsi="宋体"/>
          <w:sz w:val="24"/>
          <w:szCs w:val="24"/>
          <w:highlight w:val="none"/>
        </w:rPr>
        <w:t xml:space="preserve"> </w:t>
      </w:r>
      <w:r>
        <w:rPr>
          <w:rFonts w:hint="eastAsia" w:ascii="宋体" w:hAnsi="宋体"/>
          <w:b w:val="0"/>
          <w:sz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投标人过去1年（2021年</w:t>
            </w:r>
            <w:r>
              <w:rPr>
                <w:rFonts w:hint="eastAsia" w:ascii="宋体" w:hAnsi="宋体" w:eastAsia="宋体" w:cs="宋体"/>
                <w:b w:val="0"/>
                <w:bCs w:val="0"/>
                <w:sz w:val="21"/>
                <w:szCs w:val="21"/>
                <w:highlight w:val="none"/>
                <w:lang w:eastAsia="zh-CN"/>
              </w:rPr>
              <w:t>10月</w:t>
            </w:r>
            <w:r>
              <w:rPr>
                <w:rFonts w:hint="eastAsia" w:ascii="宋体" w:hAnsi="宋体" w:eastAsia="宋体" w:cs="宋体"/>
                <w:b w:val="0"/>
                <w:bCs w:val="0"/>
                <w:sz w:val="21"/>
                <w:szCs w:val="21"/>
                <w:highlight w:val="none"/>
              </w:rPr>
              <w:t>1日至今）中不曾在</w:t>
            </w:r>
            <w:r>
              <w:rPr>
                <w:rFonts w:hint="eastAsia" w:ascii="宋体" w:hAnsi="宋体" w:eastAsia="宋体"/>
                <w:szCs w:val="21"/>
                <w:highlight w:val="none"/>
              </w:rPr>
              <w:t>电力工程项目</w:t>
            </w:r>
            <w:r>
              <w:rPr>
                <w:rFonts w:hint="eastAsia" w:ascii="宋体" w:hAnsi="宋体" w:eastAsia="宋体" w:cs="宋体"/>
                <w:b w:val="0"/>
                <w:bCs w:val="0"/>
                <w:sz w:val="21"/>
                <w:szCs w:val="21"/>
                <w:highlight w:val="none"/>
              </w:rPr>
              <w:t>中因违约而被驱逐或投标人自身的原因而使</w:t>
            </w:r>
            <w:r>
              <w:rPr>
                <w:rFonts w:hint="eastAsia" w:ascii="宋体" w:hAnsi="宋体" w:eastAsia="宋体"/>
                <w:szCs w:val="21"/>
                <w:highlight w:val="none"/>
              </w:rPr>
              <w:t>电力工程项目</w:t>
            </w:r>
            <w:r>
              <w:rPr>
                <w:rFonts w:hint="eastAsia" w:ascii="宋体" w:hAnsi="宋体" w:eastAsia="宋体" w:cs="宋体"/>
                <w:b w:val="0"/>
                <w:bCs w:val="0"/>
                <w:sz w:val="21"/>
                <w:szCs w:val="21"/>
                <w:highlight w:val="none"/>
              </w:rPr>
              <w:t>合同被解除。</w:t>
            </w:r>
          </w:p>
          <w:p>
            <w:pPr>
              <w:pStyle w:val="3"/>
              <w:pageBreakBefore w:val="0"/>
              <w:widowControl w:val="0"/>
              <w:kinsoku/>
              <w:wordWrap/>
              <w:overflowPunct/>
              <w:topLinePunct w:val="0"/>
              <w:autoSpaceDE/>
              <w:autoSpaceDN/>
              <w:bidi w:val="0"/>
              <w:snapToGrid w:val="0"/>
              <w:spacing w:before="0" w:after="0" w:line="240" w:lineRule="auto"/>
              <w:textAlignment w:val="auto"/>
              <w:rPr>
                <w:rFonts w:hint="eastAsia"/>
                <w:highlight w:val="none"/>
              </w:rPr>
            </w:pPr>
            <w:bookmarkStart w:id="17" w:name="_Toc18565"/>
            <w:r>
              <w:rPr>
                <w:rFonts w:hint="eastAsia" w:ascii="宋体" w:hAnsi="宋体" w:eastAsia="宋体" w:cs="宋体"/>
                <w:b w:val="0"/>
                <w:bCs w:val="0"/>
                <w:sz w:val="21"/>
                <w:szCs w:val="21"/>
                <w:highlight w:val="none"/>
              </w:rPr>
              <w:t>以联合体形式投标的，联合体各成员均满足本项的资格条件。</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noWrap w:val="0"/>
            <w:vAlign w:val="center"/>
          </w:tcPr>
          <w:p>
            <w:pPr>
              <w:rPr>
                <w:rFonts w:ascii="宋体" w:hAnsi="宋体"/>
                <w:highlight w:val="none"/>
              </w:rPr>
            </w:pPr>
          </w:p>
        </w:tc>
      </w:tr>
    </w:tbl>
    <w:p>
      <w:pPr>
        <w:rPr>
          <w:rFonts w:hint="eastAsia" w:ascii="宋体" w:hAnsi="宋体"/>
          <w:b/>
          <w:sz w:val="24"/>
          <w:highlight w:val="none"/>
        </w:rPr>
      </w:pPr>
    </w:p>
    <w:p>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br w:type="page"/>
      </w:r>
    </w:p>
    <w:bookmarkEnd w:id="5"/>
    <w:bookmarkEnd w:id="16"/>
    <w:p>
      <w:pPr>
        <w:widowControl/>
        <w:jc w:val="center"/>
        <w:rPr>
          <w:rFonts w:ascii="宋体" w:hAnsi="宋体" w:eastAsia="宋体"/>
          <w:b/>
          <w:sz w:val="24"/>
          <w:highlight w:val="none"/>
        </w:rPr>
      </w:pPr>
      <w:bookmarkStart w:id="18" w:name="_Toc470776155"/>
      <w:r>
        <w:rPr>
          <w:rFonts w:hint="eastAsia" w:ascii="宋体" w:hAnsi="宋体" w:eastAsia="宋体"/>
          <w:b/>
          <w:sz w:val="24"/>
          <w:highlight w:val="none"/>
        </w:rPr>
        <w:t>附录4 资格审查条件(项目经理（兼施工负责人）、项目总工、设计负责人最低要求)</w:t>
      </w:r>
    </w:p>
    <w:tbl>
      <w:tblPr>
        <w:tblStyle w:val="7"/>
        <w:tblW w:w="493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531"/>
        <w:gridCol w:w="677"/>
        <w:gridCol w:w="5822"/>
        <w:gridCol w:w="103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4" w:type="pct"/>
            <w:noWrap w:val="0"/>
            <w:vAlign w:val="center"/>
          </w:tcPr>
          <w:p>
            <w:pPr>
              <w:adjustRightInd w:val="0"/>
              <w:snapToGrid w:val="0"/>
              <w:jc w:val="center"/>
              <w:rPr>
                <w:rFonts w:ascii="宋体" w:hAnsi="宋体" w:eastAsia="宋体"/>
                <w:b/>
                <w:szCs w:val="21"/>
                <w:highlight w:val="none"/>
              </w:rPr>
            </w:pPr>
            <w:r>
              <w:rPr>
                <w:rFonts w:hint="eastAsia" w:ascii="宋体" w:hAnsi="宋体" w:eastAsia="宋体"/>
                <w:b/>
                <w:szCs w:val="21"/>
                <w:highlight w:val="none"/>
              </w:rPr>
              <w:t>岗位</w:t>
            </w:r>
          </w:p>
        </w:tc>
        <w:tc>
          <w:tcPr>
            <w:tcW w:w="373" w:type="pct"/>
            <w:noWrap w:val="0"/>
            <w:vAlign w:val="center"/>
          </w:tcPr>
          <w:p>
            <w:pPr>
              <w:adjustRightInd w:val="0"/>
              <w:snapToGrid w:val="0"/>
              <w:jc w:val="center"/>
              <w:rPr>
                <w:rFonts w:ascii="宋体" w:hAnsi="宋体" w:eastAsia="宋体"/>
                <w:b/>
                <w:szCs w:val="21"/>
                <w:highlight w:val="none"/>
              </w:rPr>
            </w:pPr>
            <w:r>
              <w:rPr>
                <w:rFonts w:hint="eastAsia" w:ascii="宋体" w:hAnsi="宋体" w:eastAsia="宋体"/>
                <w:b/>
                <w:szCs w:val="21"/>
                <w:highlight w:val="none"/>
              </w:rPr>
              <w:t>数量</w:t>
            </w:r>
          </w:p>
        </w:tc>
        <w:tc>
          <w:tcPr>
            <w:tcW w:w="3210" w:type="pct"/>
            <w:tcBorders>
              <w:bottom w:val="single" w:color="auto" w:sz="4" w:space="0"/>
            </w:tcBorders>
            <w:noWrap w:val="0"/>
            <w:vAlign w:val="center"/>
          </w:tcPr>
          <w:p>
            <w:pPr>
              <w:adjustRightInd w:val="0"/>
              <w:snapToGrid w:val="0"/>
              <w:jc w:val="center"/>
              <w:rPr>
                <w:rFonts w:ascii="宋体" w:hAnsi="宋体" w:eastAsia="宋体"/>
                <w:b/>
                <w:szCs w:val="21"/>
                <w:highlight w:val="none"/>
              </w:rPr>
            </w:pPr>
            <w:r>
              <w:rPr>
                <w:rFonts w:hint="eastAsia" w:ascii="宋体" w:hAnsi="宋体" w:eastAsia="宋体"/>
                <w:b/>
                <w:szCs w:val="21"/>
                <w:highlight w:val="none"/>
              </w:rPr>
              <w:t>资格标准</w:t>
            </w:r>
          </w:p>
        </w:tc>
        <w:tc>
          <w:tcPr>
            <w:tcW w:w="573" w:type="pct"/>
            <w:tcBorders>
              <w:bottom w:val="single" w:color="auto" w:sz="4" w:space="0"/>
            </w:tcBorders>
            <w:noWrap w:val="0"/>
            <w:vAlign w:val="center"/>
          </w:tcPr>
          <w:p>
            <w:pPr>
              <w:adjustRightInd w:val="0"/>
              <w:snapToGrid w:val="0"/>
              <w:jc w:val="center"/>
              <w:rPr>
                <w:rFonts w:ascii="宋体" w:hAnsi="宋体" w:eastAsia="宋体"/>
                <w:b/>
                <w:szCs w:val="21"/>
                <w:highlight w:val="none"/>
              </w:rPr>
            </w:pPr>
            <w:r>
              <w:rPr>
                <w:rFonts w:hint="eastAsia" w:ascii="宋体" w:hAnsi="宋体" w:eastAsia="宋体"/>
                <w:b/>
                <w:szCs w:val="21"/>
                <w:highlight w:val="none"/>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44" w:type="pct"/>
            <w:noWrap w:val="0"/>
            <w:vAlign w:val="center"/>
          </w:tcPr>
          <w:p>
            <w:pPr>
              <w:adjustRightInd w:val="0"/>
              <w:snapToGrid w:val="0"/>
              <w:spacing w:line="400" w:lineRule="exact"/>
              <w:jc w:val="center"/>
              <w:rPr>
                <w:rFonts w:ascii="宋体" w:hAnsi="宋体" w:eastAsia="宋体"/>
                <w:szCs w:val="21"/>
                <w:highlight w:val="none"/>
              </w:rPr>
            </w:pPr>
            <w:r>
              <w:rPr>
                <w:rFonts w:hint="eastAsia" w:ascii="宋体" w:hAnsi="宋体" w:eastAsia="宋体"/>
                <w:szCs w:val="21"/>
                <w:highlight w:val="none"/>
              </w:rPr>
              <w:t>项目经理</w:t>
            </w:r>
          </w:p>
          <w:p>
            <w:pPr>
              <w:adjustRightInd w:val="0"/>
              <w:snapToGrid w:val="0"/>
              <w:spacing w:line="400" w:lineRule="exact"/>
              <w:jc w:val="center"/>
              <w:rPr>
                <w:rFonts w:ascii="宋体" w:hAnsi="宋体" w:eastAsia="宋体"/>
                <w:szCs w:val="21"/>
                <w:highlight w:val="none"/>
              </w:rPr>
            </w:pPr>
            <w:bookmarkStart w:id="19" w:name="_Hlk99978711"/>
            <w:r>
              <w:rPr>
                <w:rFonts w:hint="eastAsia" w:ascii="宋体" w:hAnsi="宋体" w:eastAsia="宋体"/>
                <w:szCs w:val="21"/>
                <w:highlight w:val="none"/>
              </w:rPr>
              <w:t>（兼施工负责人）</w:t>
            </w:r>
            <w:bookmarkEnd w:id="19"/>
          </w:p>
        </w:tc>
        <w:tc>
          <w:tcPr>
            <w:tcW w:w="373" w:type="pct"/>
            <w:noWrap w:val="0"/>
            <w:vAlign w:val="center"/>
          </w:tcPr>
          <w:p>
            <w:pPr>
              <w:adjustRightInd w:val="0"/>
              <w:snapToGrid w:val="0"/>
              <w:spacing w:line="400" w:lineRule="exact"/>
              <w:jc w:val="center"/>
              <w:rPr>
                <w:rFonts w:ascii="宋体" w:hAnsi="宋体" w:eastAsia="宋体"/>
                <w:szCs w:val="21"/>
                <w:highlight w:val="none"/>
              </w:rPr>
            </w:pPr>
            <w:r>
              <w:rPr>
                <w:rFonts w:ascii="宋体" w:hAnsi="宋体" w:eastAsia="宋体"/>
                <w:szCs w:val="21"/>
                <w:highlight w:val="none"/>
              </w:rPr>
              <w:t>1</w:t>
            </w:r>
          </w:p>
        </w:tc>
        <w:tc>
          <w:tcPr>
            <w:tcW w:w="3210" w:type="pct"/>
            <w:noWrap w:val="0"/>
            <w:vAlign w:val="center"/>
          </w:tcPr>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工程师</w:t>
            </w:r>
          </w:p>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具有“机电工程”专业的二级及以上建造师注册证书，建造师电子注册证书的注册单位须与投标人单位名称一致；</w:t>
            </w:r>
          </w:p>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具有住房和城乡建设行政主管部门颁发有效的《安全生产考核合格证书》（B类），安全生产考核合格证书的登记单位须与投标人单位名称一致；</w:t>
            </w:r>
          </w:p>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近5年（2017年</w:t>
            </w:r>
            <w:r>
              <w:rPr>
                <w:rFonts w:hint="eastAsia" w:ascii="宋体" w:hAnsi="宋体" w:eastAsia="宋体"/>
                <w:szCs w:val="21"/>
                <w:highlight w:val="none"/>
                <w:lang w:eastAsia="zh-CN"/>
              </w:rPr>
              <w:t>10月</w:t>
            </w:r>
            <w:r>
              <w:rPr>
                <w:rFonts w:hint="eastAsia" w:ascii="宋体" w:hAnsi="宋体" w:eastAsia="宋体"/>
                <w:szCs w:val="21"/>
                <w:highlight w:val="none"/>
              </w:rPr>
              <w:t>1日至今，以工程（交）竣工时间为准）担任过1项</w:t>
            </w:r>
            <w:r>
              <w:rPr>
                <w:rFonts w:hint="eastAsia" w:ascii="宋体" w:hAnsi="宋体" w:eastAsia="宋体" w:cs="宋体"/>
                <w:b w:val="0"/>
                <w:bCs w:val="0"/>
                <w:sz w:val="21"/>
                <w:szCs w:val="21"/>
                <w:highlight w:val="none"/>
                <w:lang w:val="en-US" w:eastAsia="zh-CN"/>
              </w:rPr>
              <w:t>电力工程施工项目</w:t>
            </w:r>
            <w:r>
              <w:rPr>
                <w:rFonts w:hint="eastAsia" w:ascii="宋体" w:hAnsi="宋体" w:eastAsia="宋体"/>
                <w:szCs w:val="21"/>
                <w:highlight w:val="none"/>
              </w:rPr>
              <w:t>的项目经理（或项目副经理或项目总工）。</w:t>
            </w:r>
          </w:p>
        </w:tc>
        <w:tc>
          <w:tcPr>
            <w:tcW w:w="573" w:type="pct"/>
            <w:vMerge w:val="restart"/>
            <w:noWrap w:val="0"/>
            <w:vAlign w:val="center"/>
          </w:tcPr>
          <w:p>
            <w:pPr>
              <w:adjustRightInd w:val="0"/>
              <w:snapToGrid w:val="0"/>
              <w:spacing w:line="400" w:lineRule="exact"/>
              <w:jc w:val="center"/>
              <w:rPr>
                <w:rFonts w:ascii="宋体" w:hAnsi="宋体" w:eastAsia="宋体"/>
                <w:szCs w:val="21"/>
                <w:highlight w:val="none"/>
              </w:rPr>
            </w:pPr>
            <w:r>
              <w:rPr>
                <w:rFonts w:hint="eastAsia" w:ascii="宋体" w:hAnsi="宋体" w:eastAsia="宋体" w:cs="宋体"/>
                <w:kern w:val="0"/>
                <w:szCs w:val="21"/>
                <w:highlight w:val="none"/>
              </w:rPr>
              <w:t>目前未在其他项目上任职，或虽在其他项目上任职但本项目中标后能够从该项目撤离</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844" w:type="pct"/>
            <w:noWrap w:val="0"/>
            <w:vAlign w:val="center"/>
          </w:tcPr>
          <w:p>
            <w:pPr>
              <w:spacing w:line="400" w:lineRule="exact"/>
              <w:jc w:val="center"/>
              <w:rPr>
                <w:rFonts w:ascii="宋体" w:hAnsi="宋体" w:eastAsia="宋体"/>
                <w:szCs w:val="21"/>
                <w:highlight w:val="none"/>
              </w:rPr>
            </w:pPr>
            <w:r>
              <w:rPr>
                <w:rFonts w:hint="eastAsia" w:ascii="宋体" w:hAnsi="宋体" w:eastAsia="宋体"/>
                <w:szCs w:val="21"/>
                <w:highlight w:val="none"/>
              </w:rPr>
              <w:t>项目总工</w:t>
            </w:r>
          </w:p>
        </w:tc>
        <w:tc>
          <w:tcPr>
            <w:tcW w:w="373" w:type="pct"/>
            <w:noWrap w:val="0"/>
            <w:vAlign w:val="center"/>
          </w:tcPr>
          <w:p>
            <w:pPr>
              <w:spacing w:line="400" w:lineRule="exact"/>
              <w:jc w:val="center"/>
              <w:rPr>
                <w:rFonts w:ascii="宋体" w:hAnsi="宋体" w:eastAsia="宋体"/>
                <w:szCs w:val="21"/>
                <w:highlight w:val="none"/>
              </w:rPr>
            </w:pPr>
            <w:r>
              <w:rPr>
                <w:rFonts w:hint="eastAsia" w:ascii="宋体" w:hAnsi="宋体" w:eastAsia="宋体"/>
                <w:szCs w:val="21"/>
                <w:highlight w:val="none"/>
              </w:rPr>
              <w:t>1</w:t>
            </w:r>
          </w:p>
        </w:tc>
        <w:tc>
          <w:tcPr>
            <w:tcW w:w="3210" w:type="pct"/>
            <w:noWrap w:val="0"/>
            <w:vAlign w:val="center"/>
          </w:tcPr>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工程师</w:t>
            </w:r>
          </w:p>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具有住房和城乡建设行政主管部门颁发有效的《安全生产考核合格证书》（B类），安全生产考核合格证书的登记单位须与投标人单位名称一致；</w:t>
            </w:r>
          </w:p>
          <w:p>
            <w:pPr>
              <w:adjustRightInd w:val="0"/>
              <w:snapToGrid w:val="0"/>
              <w:spacing w:line="276" w:lineRule="auto"/>
              <w:rPr>
                <w:rFonts w:ascii="宋体" w:hAnsi="宋体" w:eastAsia="宋体"/>
                <w:szCs w:val="21"/>
                <w:highlight w:val="none"/>
              </w:rPr>
            </w:pPr>
            <w:r>
              <w:rPr>
                <w:rFonts w:hint="eastAsia" w:ascii="宋体" w:hAnsi="宋体" w:eastAsia="宋体"/>
                <w:szCs w:val="21"/>
                <w:highlight w:val="none"/>
              </w:rPr>
              <w:t>近5年（2017年</w:t>
            </w:r>
            <w:r>
              <w:rPr>
                <w:rFonts w:hint="eastAsia" w:ascii="宋体" w:hAnsi="宋体" w:eastAsia="宋体"/>
                <w:szCs w:val="21"/>
                <w:highlight w:val="none"/>
                <w:lang w:eastAsia="zh-CN"/>
              </w:rPr>
              <w:t>10月</w:t>
            </w:r>
            <w:r>
              <w:rPr>
                <w:rFonts w:hint="eastAsia" w:ascii="宋体" w:hAnsi="宋体" w:eastAsia="宋体"/>
                <w:szCs w:val="21"/>
                <w:highlight w:val="none"/>
              </w:rPr>
              <w:t>1日至今，以工程（交）竣工时间为准）担任过1项</w:t>
            </w:r>
            <w:r>
              <w:rPr>
                <w:rFonts w:hint="eastAsia" w:ascii="宋体" w:hAnsi="宋体" w:eastAsia="宋体" w:cs="宋体"/>
                <w:b w:val="0"/>
                <w:bCs w:val="0"/>
                <w:sz w:val="21"/>
                <w:szCs w:val="21"/>
                <w:highlight w:val="none"/>
                <w:lang w:val="en-US" w:eastAsia="zh-CN"/>
              </w:rPr>
              <w:t>电力工程施工项目</w:t>
            </w:r>
            <w:r>
              <w:rPr>
                <w:rFonts w:hint="eastAsia" w:ascii="宋体" w:hAnsi="宋体" w:eastAsia="宋体"/>
                <w:szCs w:val="21"/>
                <w:highlight w:val="none"/>
              </w:rPr>
              <w:t>的项目总工（或项目副总工）。</w:t>
            </w:r>
          </w:p>
        </w:tc>
        <w:tc>
          <w:tcPr>
            <w:tcW w:w="573" w:type="pct"/>
            <w:vMerge w:val="continue"/>
            <w:tcBorders>
              <w:bottom w:val="single" w:color="auto" w:sz="4" w:space="0"/>
            </w:tcBorders>
            <w:noWrap w:val="0"/>
            <w:vAlign w:val="center"/>
          </w:tcPr>
          <w:p>
            <w:pPr>
              <w:adjustRightInd w:val="0"/>
              <w:snapToGrid w:val="0"/>
              <w:spacing w:line="400" w:lineRule="exact"/>
              <w:jc w:val="center"/>
              <w:rPr>
                <w:rFonts w:ascii="宋体" w:hAnsi="宋体" w:eastAsia="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844" w:type="pct"/>
            <w:noWrap w:val="0"/>
            <w:vAlign w:val="center"/>
          </w:tcPr>
          <w:p>
            <w:pPr>
              <w:spacing w:line="400" w:lineRule="exact"/>
              <w:jc w:val="center"/>
              <w:rPr>
                <w:rFonts w:ascii="宋体" w:hAnsi="宋体" w:eastAsia="宋体"/>
                <w:szCs w:val="21"/>
                <w:highlight w:val="none"/>
              </w:rPr>
            </w:pPr>
            <w:r>
              <w:rPr>
                <w:rFonts w:hint="eastAsia" w:ascii="宋体" w:hAnsi="宋体" w:eastAsia="宋体"/>
                <w:szCs w:val="21"/>
                <w:highlight w:val="none"/>
              </w:rPr>
              <w:t>设计负责人</w:t>
            </w:r>
          </w:p>
        </w:tc>
        <w:tc>
          <w:tcPr>
            <w:tcW w:w="373" w:type="pct"/>
            <w:noWrap w:val="0"/>
            <w:vAlign w:val="center"/>
          </w:tcPr>
          <w:p>
            <w:pPr>
              <w:spacing w:line="400" w:lineRule="exact"/>
              <w:jc w:val="center"/>
              <w:rPr>
                <w:rFonts w:ascii="宋体" w:hAnsi="宋体" w:eastAsia="宋体"/>
                <w:szCs w:val="21"/>
                <w:highlight w:val="none"/>
              </w:rPr>
            </w:pPr>
            <w:r>
              <w:rPr>
                <w:rFonts w:hint="eastAsia" w:ascii="宋体" w:hAnsi="宋体" w:eastAsia="宋体"/>
                <w:szCs w:val="21"/>
                <w:highlight w:val="none"/>
              </w:rPr>
              <w:t>1</w:t>
            </w:r>
          </w:p>
        </w:tc>
        <w:tc>
          <w:tcPr>
            <w:tcW w:w="3210" w:type="pct"/>
            <w:noWrap w:val="0"/>
            <w:vAlign w:val="center"/>
          </w:tcPr>
          <w:p>
            <w:pPr>
              <w:adjustRightInd w:val="0"/>
              <w:snapToGrid w:val="0"/>
              <w:spacing w:line="276" w:lineRule="auto"/>
              <w:rPr>
                <w:rFonts w:ascii="宋体" w:hAnsi="宋体" w:eastAsia="宋体"/>
                <w:highlight w:val="none"/>
              </w:rPr>
            </w:pPr>
            <w:r>
              <w:rPr>
                <w:rFonts w:hint="eastAsia" w:ascii="宋体" w:hAnsi="宋体" w:eastAsia="宋体"/>
                <w:highlight w:val="none"/>
              </w:rPr>
              <w:t>工程师</w:t>
            </w:r>
          </w:p>
          <w:p>
            <w:pPr>
              <w:adjustRightInd w:val="0"/>
              <w:snapToGrid w:val="0"/>
              <w:spacing w:line="276" w:lineRule="auto"/>
              <w:rPr>
                <w:rFonts w:ascii="宋体" w:hAnsi="宋体" w:eastAsia="宋体"/>
                <w:highlight w:val="none"/>
              </w:rPr>
            </w:pPr>
            <w:r>
              <w:rPr>
                <w:rFonts w:hint="eastAsia" w:ascii="宋体" w:hAnsi="宋体" w:eastAsia="宋体"/>
                <w:highlight w:val="none"/>
              </w:rPr>
              <w:t>近5年（2017年</w:t>
            </w:r>
            <w:r>
              <w:rPr>
                <w:rFonts w:hint="eastAsia" w:ascii="宋体" w:hAnsi="宋体" w:eastAsia="宋体"/>
                <w:highlight w:val="none"/>
                <w:lang w:eastAsia="zh-CN"/>
              </w:rPr>
              <w:t>10月</w:t>
            </w:r>
            <w:r>
              <w:rPr>
                <w:rFonts w:hint="eastAsia" w:ascii="宋体" w:hAnsi="宋体" w:eastAsia="宋体"/>
                <w:highlight w:val="none"/>
              </w:rPr>
              <w:t>1日至今，</w:t>
            </w:r>
            <w:r>
              <w:rPr>
                <w:rFonts w:hint="eastAsia" w:ascii="宋体" w:hAnsi="宋体" w:eastAsia="宋体"/>
                <w:szCs w:val="21"/>
                <w:highlight w:val="none"/>
              </w:rPr>
              <w:t>以合同签订时间为准</w:t>
            </w:r>
            <w:r>
              <w:rPr>
                <w:rFonts w:hint="eastAsia" w:ascii="宋体" w:hAnsi="宋体" w:eastAsia="宋体"/>
                <w:highlight w:val="none"/>
              </w:rPr>
              <w:t>)，担任过1项</w:t>
            </w:r>
            <w:r>
              <w:rPr>
                <w:rFonts w:hint="eastAsia" w:ascii="宋体" w:hAnsi="宋体" w:eastAsia="宋体" w:cs="宋体"/>
                <w:b w:val="0"/>
                <w:bCs w:val="0"/>
                <w:sz w:val="21"/>
                <w:szCs w:val="21"/>
                <w:highlight w:val="none"/>
                <w:lang w:val="en-US" w:eastAsia="zh-CN"/>
              </w:rPr>
              <w:t>分布式光伏设计或光伏车棚设计项目</w:t>
            </w:r>
            <w:r>
              <w:rPr>
                <w:rFonts w:hint="eastAsia" w:ascii="宋体" w:hAnsi="宋体" w:eastAsia="宋体"/>
                <w:highlight w:val="none"/>
              </w:rPr>
              <w:t>的项目负责人或设计负责人。</w:t>
            </w:r>
          </w:p>
        </w:tc>
        <w:tc>
          <w:tcPr>
            <w:tcW w:w="573" w:type="pct"/>
            <w:tcBorders>
              <w:top w:val="single" w:color="auto" w:sz="4" w:space="0"/>
            </w:tcBorders>
            <w:noWrap w:val="0"/>
            <w:vAlign w:val="center"/>
          </w:tcPr>
          <w:p>
            <w:pPr>
              <w:adjustRightInd w:val="0"/>
              <w:snapToGrid w:val="0"/>
              <w:spacing w:line="400" w:lineRule="exact"/>
              <w:jc w:val="center"/>
              <w:rPr>
                <w:rFonts w:ascii="宋体" w:hAnsi="宋体" w:eastAsia="宋体"/>
                <w:szCs w:val="21"/>
                <w:highlight w:val="none"/>
              </w:rPr>
            </w:pPr>
            <w:r>
              <w:rPr>
                <w:rFonts w:hint="eastAsia" w:ascii="宋体" w:hAnsi="宋体" w:eastAsia="宋体"/>
                <w:szCs w:val="21"/>
                <w:highlight w:val="none"/>
              </w:rPr>
              <w:t>无</w:t>
            </w:r>
          </w:p>
        </w:tc>
      </w:tr>
    </w:tbl>
    <w:p>
      <w:pPr>
        <w:pStyle w:val="2"/>
        <w:rPr>
          <w:rFonts w:ascii="宋体" w:hAnsi="宋体" w:eastAsia="宋体"/>
          <w:highlight w:val="none"/>
        </w:rPr>
      </w:pPr>
    </w:p>
    <w:p>
      <w:pPr>
        <w:rPr>
          <w:rFonts w:hint="eastAsia"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附件2：评标办法</w:t>
      </w:r>
      <w:bookmarkEnd w:id="18"/>
    </w:p>
    <w:p>
      <w:pPr>
        <w:pStyle w:val="12"/>
        <w:spacing w:line="276" w:lineRule="auto"/>
        <w:jc w:val="both"/>
        <w:rPr>
          <w:rFonts w:ascii="宋体" w:hAnsi="宋体" w:eastAsia="宋体"/>
          <w:sz w:val="24"/>
          <w:szCs w:val="30"/>
          <w:highlight w:val="none"/>
        </w:rPr>
      </w:pPr>
      <w:bookmarkStart w:id="20" w:name="_Toc4801"/>
      <w:r>
        <w:rPr>
          <w:rFonts w:hint="eastAsia" w:ascii="宋体" w:hAnsi="宋体" w:eastAsia="宋体"/>
          <w:sz w:val="24"/>
          <w:szCs w:val="30"/>
          <w:highlight w:val="none"/>
        </w:rPr>
        <w:t>评标办法前附表</w:t>
      </w:r>
      <w:bookmarkEnd w:id="20"/>
    </w:p>
    <w:tbl>
      <w:tblPr>
        <w:tblStyle w:val="7"/>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条款号</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条款名称</w:t>
            </w:r>
          </w:p>
        </w:tc>
        <w:tc>
          <w:tcPr>
            <w:tcW w:w="7250"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评标办法</w:t>
            </w:r>
          </w:p>
        </w:tc>
        <w:tc>
          <w:tcPr>
            <w:tcW w:w="7250" w:type="dxa"/>
            <w:noWrap w:val="0"/>
            <w:vAlign w:val="center"/>
          </w:tcPr>
          <w:p>
            <w:pPr>
              <w:snapToGrid w:val="0"/>
              <w:spacing w:line="320" w:lineRule="exact"/>
              <w:ind w:firstLine="404" w:firstLineChars="200"/>
              <w:jc w:val="left"/>
              <w:rPr>
                <w:rFonts w:hint="eastAsia" w:ascii="宋体" w:hAnsi="宋体" w:cs="宋体"/>
                <w:spacing w:val="-4"/>
                <w:szCs w:val="21"/>
                <w:highlight w:val="none"/>
              </w:rPr>
            </w:pPr>
            <w:r>
              <w:rPr>
                <w:rFonts w:hint="eastAsia" w:ascii="宋体" w:hAnsi="宋体" w:cs="宋体"/>
                <w:spacing w:val="-4"/>
                <w:szCs w:val="21"/>
                <w:highlight w:val="none"/>
              </w:rPr>
              <w:t>本次评标采用综合评</w:t>
            </w:r>
            <w:r>
              <w:rPr>
                <w:rFonts w:hint="eastAsia" w:ascii="宋体" w:hAnsi="宋体" w:cs="宋体"/>
                <w:spacing w:val="-4"/>
                <w:szCs w:val="21"/>
                <w:highlight w:val="none"/>
                <w:lang w:val="en-US" w:eastAsia="zh-CN"/>
              </w:rPr>
              <w:t>分</w:t>
            </w:r>
            <w:r>
              <w:rPr>
                <w:rFonts w:hint="eastAsia" w:ascii="宋体" w:hAnsi="宋体" w:cs="宋体"/>
                <w:spacing w:val="-4"/>
                <w:szCs w:val="21"/>
                <w:highlight w:val="none"/>
              </w:rPr>
              <w:t>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（1）评标价低的投标人优先；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（2）实施方案得分较高的投标人优先；</w:t>
            </w:r>
          </w:p>
          <w:p>
            <w:pPr>
              <w:snapToGrid w:val="0"/>
              <w:spacing w:line="320" w:lineRule="exact"/>
              <w:ind w:left="205" w:leftChars="97" w:hanging="1"/>
              <w:jc w:val="left"/>
              <w:rPr>
                <w:rFonts w:hint="eastAsia" w:ascii="宋体" w:hAnsi="宋体" w:cs="宋体"/>
                <w:spacing w:val="-4"/>
                <w:szCs w:val="21"/>
                <w:highlight w:val="none"/>
              </w:rPr>
            </w:pPr>
            <w:r>
              <w:rPr>
                <w:rFonts w:hint="eastAsia" w:ascii="宋体" w:hAnsi="宋体" w:cs="宋体"/>
                <w:spacing w:val="-4"/>
                <w:szCs w:val="21"/>
                <w:highlight w:val="none"/>
              </w:rPr>
              <w:t>（3）投标人近3年内满足资格审查条件(业绩最低条件)要求的业绩累计合同金额高的优先。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2.1.1</w:t>
            </w:r>
          </w:p>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形式评审与响应性评审标准</w:t>
            </w:r>
          </w:p>
        </w:tc>
        <w:tc>
          <w:tcPr>
            <w:tcW w:w="7250" w:type="dxa"/>
            <w:noWrap w:val="0"/>
            <w:vAlign w:val="top"/>
          </w:tcPr>
          <w:p>
            <w:pPr>
              <w:tabs>
                <w:tab w:val="left" w:pos="3060"/>
              </w:tabs>
              <w:snapToGrid w:val="0"/>
              <w:spacing w:line="320" w:lineRule="exact"/>
              <w:rPr>
                <w:rFonts w:hint="eastAsia"/>
                <w:highlight w:val="none"/>
              </w:rPr>
            </w:pPr>
            <w:r>
              <w:rPr>
                <w:rFonts w:hint="eastAsia"/>
                <w:highlight w:val="none"/>
              </w:rPr>
              <w:t>第一个信封（商务及技术文件）评审标准:</w:t>
            </w:r>
          </w:p>
          <w:p>
            <w:pPr>
              <w:tabs>
                <w:tab w:val="left" w:pos="3060"/>
              </w:tabs>
              <w:snapToGrid w:val="0"/>
              <w:spacing w:line="320" w:lineRule="exact"/>
              <w:ind w:firstLine="210" w:firstLineChars="100"/>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420" w:firstLineChars="200"/>
              <w:rPr>
                <w:rFonts w:hint="eastAsia"/>
                <w:highlight w:val="none"/>
              </w:rPr>
            </w:pPr>
            <w:r>
              <w:rPr>
                <w:rFonts w:hint="eastAsia"/>
                <w:highlight w:val="none"/>
              </w:rPr>
              <w:t>a.投标函按招标文件规定填报了</w:t>
            </w:r>
            <w:r>
              <w:rPr>
                <w:rFonts w:hint="eastAsia" w:ascii="宋体" w:hAnsi="宋体" w:cs="宋体"/>
                <w:szCs w:val="21"/>
                <w:highlight w:val="none"/>
              </w:rPr>
              <w:t>项目名称、</w:t>
            </w:r>
            <w:r>
              <w:rPr>
                <w:rFonts w:hint="eastAsia"/>
                <w:highlight w:val="none"/>
              </w:rPr>
              <w:t>补遗书编号（如有）、质量要求、</w:t>
            </w:r>
            <w:r>
              <w:rPr>
                <w:rFonts w:hint="eastAsia"/>
                <w:highlight w:val="none"/>
                <w:lang w:val="en-US" w:eastAsia="zh-CN"/>
              </w:rPr>
              <w:t>计划工期、安全目标</w:t>
            </w:r>
            <w:r>
              <w:rPr>
                <w:rFonts w:hint="eastAsia"/>
                <w:highlight w:val="none"/>
              </w:rPr>
              <w:t>；</w:t>
            </w:r>
          </w:p>
          <w:p>
            <w:pPr>
              <w:tabs>
                <w:tab w:val="left" w:pos="3060"/>
              </w:tabs>
              <w:snapToGrid w:val="0"/>
              <w:spacing w:line="320" w:lineRule="exact"/>
              <w:ind w:firstLine="420" w:firstLineChars="200"/>
              <w:rPr>
                <w:rFonts w:hint="eastAsia"/>
                <w:highlight w:val="none"/>
              </w:rPr>
            </w:pPr>
            <w:r>
              <w:rPr>
                <w:rFonts w:hint="eastAsia"/>
                <w:highlight w:val="none"/>
                <w:lang w:val="en-US" w:eastAsia="zh-CN"/>
              </w:rPr>
              <w:t>b</w:t>
            </w:r>
            <w:r>
              <w:rPr>
                <w:rFonts w:hint="eastAsia"/>
                <w:highlight w:val="none"/>
              </w:rPr>
              <w:t>.投标文件组成齐全完整，内容均按规定填写。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（3）投标人按照招标文件的规定提供了投标保证金：</w:t>
            </w:r>
          </w:p>
          <w:p>
            <w:pPr>
              <w:tabs>
                <w:tab w:val="left" w:pos="3060"/>
              </w:tabs>
              <w:snapToGrid w:val="0"/>
              <w:spacing w:line="320" w:lineRule="exact"/>
              <w:ind w:firstLine="210" w:firstLineChars="100"/>
              <w:rPr>
                <w:rFonts w:hint="eastAsia"/>
                <w:highlight w:val="none"/>
              </w:rPr>
            </w:pPr>
            <w:r>
              <w:rPr>
                <w:rFonts w:hint="eastAsia"/>
                <w:highlight w:val="none"/>
              </w:rPr>
              <w:t>a.投标保证金金额符合招标文件规定的金额，且投标保证金有效期不少于投标有效期；</w:t>
            </w:r>
          </w:p>
          <w:p>
            <w:pPr>
              <w:tabs>
                <w:tab w:val="left" w:pos="3060"/>
              </w:tabs>
              <w:snapToGrid w:val="0"/>
              <w:spacing w:line="320" w:lineRule="exact"/>
              <w:ind w:firstLine="210" w:firstLineChars="100"/>
              <w:rPr>
                <w:rFonts w:hint="eastAsia"/>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hint="eastAsia"/>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hint="eastAsia"/>
                <w:highlight w:val="none"/>
              </w:rPr>
            </w:pPr>
            <w:r>
              <w:rPr>
                <w:rFonts w:hint="eastAsia"/>
                <w:highlight w:val="none"/>
              </w:rPr>
              <w:t>（4）投标人法定代表人授权委托代理人签署投标文件的，须提交授权委托书，</w:t>
            </w:r>
            <w:r>
              <w:rPr>
                <w:rFonts w:hint="eastAsia" w:ascii="宋体" w:hAnsi="宋体" w:eastAsia="宋体"/>
                <w:highlight w:val="none"/>
              </w:rPr>
              <w:t>授权委托书应按第七章“投标文件格式”的要求出具</w:t>
            </w:r>
            <w:r>
              <w:rPr>
                <w:rFonts w:hint="eastAsia"/>
                <w:highlight w:val="none"/>
                <w:lang w:val="en-US" w:eastAsia="zh-CN"/>
              </w:rPr>
              <w:t>，</w:t>
            </w:r>
            <w:r>
              <w:rPr>
                <w:rFonts w:hint="eastAsia"/>
                <w:highlight w:val="none"/>
              </w:rPr>
              <w:t xml:space="preserve">授权委托书的签字盖章符合招标文件规定。 </w:t>
            </w:r>
          </w:p>
          <w:p>
            <w:pPr>
              <w:tabs>
                <w:tab w:val="left" w:pos="3060"/>
              </w:tabs>
              <w:snapToGrid w:val="0"/>
              <w:spacing w:line="32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w:t>
            </w:r>
            <w:r>
              <w:rPr>
                <w:rFonts w:hint="eastAsia" w:ascii="宋体" w:hAnsi="宋体" w:eastAsia="宋体"/>
                <w:highlight w:val="none"/>
              </w:rPr>
              <w:t>应按第七章“投标文件格式”的要求出具</w:t>
            </w:r>
            <w:r>
              <w:rPr>
                <w:rFonts w:hint="eastAsia"/>
                <w:highlight w:val="none"/>
                <w:lang w:val="en-US" w:eastAsia="zh-CN"/>
              </w:rPr>
              <w:t>，</w:t>
            </w:r>
            <w:r>
              <w:rPr>
                <w:rFonts w:hint="eastAsia"/>
                <w:highlight w:val="none"/>
              </w:rPr>
              <w:t>法定代表人身份证明的签字盖章符合招标文件规定。</w:t>
            </w:r>
          </w:p>
          <w:p>
            <w:pPr>
              <w:keepNext w:val="0"/>
              <w:keepLines w:val="0"/>
              <w:pageBreakBefore w:val="0"/>
              <w:widowControl w:val="0"/>
              <w:kinsoku/>
              <w:wordWrap/>
              <w:overflowPunct/>
              <w:topLinePunct w:val="0"/>
              <w:bidi w:val="0"/>
              <w:snapToGrid w:val="0"/>
              <w:spacing w:line="320" w:lineRule="exact"/>
              <w:ind w:firstLine="210" w:firstLineChars="100"/>
              <w:textAlignment w:val="auto"/>
              <w:rPr>
                <w:rFonts w:hint="eastAsia" w:ascii="宋体" w:hAnsi="宋体" w:cs="Times New Roman"/>
                <w:szCs w:val="21"/>
                <w:highlight w:val="none"/>
              </w:rPr>
            </w:pPr>
            <w:r>
              <w:rPr>
                <w:rFonts w:hint="eastAsia"/>
                <w:highlight w:val="none"/>
              </w:rPr>
              <w:t>（6）</w:t>
            </w:r>
            <w:r>
              <w:rPr>
                <w:rFonts w:hint="eastAsia" w:ascii="宋体" w:hAnsi="宋体"/>
                <w:szCs w:val="21"/>
                <w:highlight w:val="none"/>
              </w:rPr>
              <w:t>投标人以联合体形式投标时，联合体满足招标文件的要求：</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highlight w:val="none"/>
              </w:rPr>
            </w:pPr>
            <w:r>
              <w:rPr>
                <w:rFonts w:hint="eastAsia" w:ascii="宋体" w:hAnsi="宋体"/>
                <w:szCs w:val="21"/>
                <w:highlight w:val="none"/>
              </w:rPr>
              <w:t>投标人按照招标文件提供的格式和要求签订了联合体协议书，明确各方承担连带责任，并明确了联合体牵头人。</w:t>
            </w:r>
          </w:p>
          <w:p>
            <w:pPr>
              <w:tabs>
                <w:tab w:val="left" w:pos="3060"/>
              </w:tabs>
              <w:snapToGrid w:val="0"/>
              <w:spacing w:line="320" w:lineRule="exact"/>
              <w:ind w:firstLine="210" w:firstLineChars="100"/>
              <w:rPr>
                <w:rFonts w:hint="eastAsia"/>
                <w:highlight w:val="none"/>
              </w:rPr>
            </w:pPr>
            <w:r>
              <w:rPr>
                <w:rFonts w:hint="eastAsia"/>
                <w:highlight w:val="none"/>
              </w:rPr>
              <w:t>（7）投标人未对本项目提出分包计划。</w:t>
            </w:r>
          </w:p>
          <w:p>
            <w:pPr>
              <w:tabs>
                <w:tab w:val="left" w:pos="3060"/>
              </w:tabs>
              <w:snapToGrid w:val="0"/>
              <w:spacing w:line="320" w:lineRule="exact"/>
              <w:ind w:firstLine="210" w:firstLineChars="100"/>
              <w:rPr>
                <w:rFonts w:hint="eastAsia"/>
                <w:highlight w:val="none"/>
              </w:rPr>
            </w:pPr>
            <w:r>
              <w:rPr>
                <w:rFonts w:hint="eastAsia"/>
                <w:highlight w:val="none"/>
              </w:rPr>
              <w:t>（8）同一投标人未提交两个以上不同的投标文件。</w:t>
            </w:r>
          </w:p>
          <w:p>
            <w:pPr>
              <w:tabs>
                <w:tab w:val="left" w:pos="3060"/>
              </w:tabs>
              <w:snapToGrid w:val="0"/>
              <w:spacing w:line="320" w:lineRule="exact"/>
              <w:ind w:firstLine="210" w:firstLineChars="100"/>
              <w:rPr>
                <w:rFonts w:hint="eastAsia"/>
                <w:highlight w:val="none"/>
              </w:rPr>
            </w:pPr>
            <w:r>
              <w:rPr>
                <w:rFonts w:hint="eastAsia"/>
                <w:highlight w:val="none"/>
              </w:rPr>
              <w:t>（9）投标文件第一信封中未出现有关投标报价的内容。</w:t>
            </w:r>
          </w:p>
          <w:p>
            <w:pPr>
              <w:tabs>
                <w:tab w:val="left" w:pos="3060"/>
              </w:tabs>
              <w:snapToGrid w:val="0"/>
              <w:spacing w:line="320" w:lineRule="exact"/>
              <w:ind w:firstLine="210" w:firstLineChars="100"/>
              <w:rPr>
                <w:rFonts w:hint="eastAsia"/>
                <w:highlight w:val="none"/>
              </w:rPr>
            </w:pPr>
            <w:r>
              <w:rPr>
                <w:rFonts w:hint="eastAsia"/>
                <w:highlight w:val="none"/>
              </w:rPr>
              <w:t>（10）投标文件载明的招标项目完成期限未超过招标文件规定的时限。</w:t>
            </w:r>
          </w:p>
          <w:p>
            <w:pPr>
              <w:tabs>
                <w:tab w:val="left" w:pos="3060"/>
              </w:tabs>
              <w:snapToGrid w:val="0"/>
              <w:spacing w:line="320" w:lineRule="exact"/>
              <w:ind w:firstLine="210" w:firstLineChars="100"/>
              <w:rPr>
                <w:rFonts w:hint="eastAsia"/>
                <w:highlight w:val="none"/>
              </w:rPr>
            </w:pPr>
            <w:r>
              <w:rPr>
                <w:rFonts w:hint="eastAsia"/>
                <w:highlight w:val="none"/>
              </w:rPr>
              <w:t>（11）投标文件对招标文件的实质性要求和条件作出响应。</w:t>
            </w:r>
          </w:p>
          <w:p>
            <w:pPr>
              <w:tabs>
                <w:tab w:val="left" w:pos="3060"/>
              </w:tabs>
              <w:snapToGrid w:val="0"/>
              <w:spacing w:line="320" w:lineRule="exact"/>
              <w:ind w:firstLine="210" w:firstLineChars="100"/>
              <w:rPr>
                <w:rFonts w:hint="eastAsia"/>
                <w:highlight w:val="none"/>
              </w:rPr>
            </w:pPr>
            <w:r>
              <w:rPr>
                <w:rFonts w:hint="eastAsia"/>
                <w:highlight w:val="none"/>
              </w:rPr>
              <w:t>（12）权利义务符合招标文件规定：</w:t>
            </w:r>
          </w:p>
          <w:p>
            <w:pPr>
              <w:tabs>
                <w:tab w:val="left" w:pos="3060"/>
              </w:tabs>
              <w:snapToGrid w:val="0"/>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napToGrid w:val="0"/>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napToGrid w:val="0"/>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napToGrid w:val="0"/>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napToGrid w:val="0"/>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napToGrid w:val="0"/>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napToGrid w:val="0"/>
              <w:spacing w:line="320" w:lineRule="exact"/>
              <w:ind w:firstLine="210" w:firstLineChars="100"/>
              <w:rPr>
                <w:rFonts w:hint="eastAsia"/>
                <w:highlight w:val="none"/>
              </w:rPr>
            </w:pPr>
            <w:r>
              <w:rPr>
                <w:rFonts w:hint="eastAsia"/>
                <w:highlight w:val="none"/>
              </w:rPr>
              <w:t>(13)</w:t>
            </w:r>
            <w:r>
              <w:rPr>
                <w:rFonts w:hint="eastAsia"/>
                <w:highlight w:val="none"/>
                <w:lang w:val="en-US" w:eastAsia="zh-CN"/>
              </w:rPr>
              <w:t>投标人未提交备选投标方案</w:t>
            </w:r>
            <w:r>
              <w:rPr>
                <w:rFonts w:hint="eastAsia"/>
                <w:highlight w:val="none"/>
              </w:rPr>
              <w:t>。</w:t>
            </w:r>
          </w:p>
          <w:p>
            <w:pPr>
              <w:tabs>
                <w:tab w:val="left" w:pos="3060"/>
              </w:tabs>
              <w:snapToGrid w:val="0"/>
              <w:spacing w:line="320" w:lineRule="exact"/>
              <w:rPr>
                <w:rFonts w:hint="eastAsia"/>
                <w:highlight w:val="none"/>
              </w:rPr>
            </w:pPr>
            <w:r>
              <w:rPr>
                <w:rFonts w:hint="eastAsia"/>
                <w:highlight w:val="none"/>
              </w:rPr>
              <w:t>第二个信封（报价文件）评审标准：</w:t>
            </w:r>
          </w:p>
          <w:p>
            <w:pPr>
              <w:tabs>
                <w:tab w:val="left" w:pos="3060"/>
              </w:tabs>
              <w:snapToGrid w:val="0"/>
              <w:spacing w:line="320" w:lineRule="exact"/>
              <w:ind w:firstLine="205" w:firstLineChars="98"/>
              <w:rPr>
                <w:rFonts w:hint="eastAsia"/>
                <w:highlight w:val="none"/>
              </w:rPr>
            </w:pPr>
            <w:r>
              <w:rPr>
                <w:rFonts w:hint="eastAsia"/>
                <w:highlight w:val="none"/>
              </w:rPr>
              <w:t>（1）投标文件按照招标文件规定的格式、内容填写，字迹清晰可辨：</w:t>
            </w:r>
          </w:p>
          <w:p>
            <w:pPr>
              <w:tabs>
                <w:tab w:val="left" w:pos="3060"/>
              </w:tabs>
              <w:snapToGrid w:val="0"/>
              <w:spacing w:line="320" w:lineRule="exact"/>
              <w:ind w:firstLine="415" w:firstLineChars="198"/>
              <w:rPr>
                <w:rFonts w:hint="eastAsia"/>
                <w:highlight w:val="none"/>
              </w:rPr>
            </w:pPr>
            <w:r>
              <w:rPr>
                <w:rFonts w:hint="eastAsia"/>
                <w:highlight w:val="none"/>
              </w:rPr>
              <w:t>a.投标函按招标文件规定填报了</w:t>
            </w:r>
            <w:r>
              <w:rPr>
                <w:rFonts w:hint="eastAsia"/>
                <w:highlight w:val="none"/>
                <w:lang w:val="en-US" w:eastAsia="zh-CN"/>
              </w:rPr>
              <w:t>项目名称、</w:t>
            </w:r>
            <w:r>
              <w:rPr>
                <w:rFonts w:hint="eastAsia"/>
                <w:highlight w:val="none"/>
              </w:rPr>
              <w:t>补遗书编号（如有）、投标价（包括大写金额和小写金额）；</w:t>
            </w:r>
          </w:p>
          <w:p>
            <w:pPr>
              <w:tabs>
                <w:tab w:val="left" w:pos="3060"/>
              </w:tabs>
              <w:snapToGrid w:val="0"/>
              <w:spacing w:line="320" w:lineRule="exact"/>
              <w:ind w:firstLine="415" w:firstLineChars="198"/>
              <w:rPr>
                <w:rFonts w:hint="eastAsia"/>
                <w:highlight w:val="none"/>
              </w:rPr>
            </w:pPr>
            <w:r>
              <w:rPr>
                <w:rFonts w:hint="eastAsia"/>
                <w:highlight w:val="none"/>
              </w:rPr>
              <w:t>b．投标文件组成齐全完整，内容均按规定填写。</w:t>
            </w:r>
          </w:p>
          <w:p>
            <w:pPr>
              <w:tabs>
                <w:tab w:val="left" w:pos="3060"/>
              </w:tabs>
              <w:snapToGrid w:val="0"/>
              <w:spacing w:line="320" w:lineRule="exact"/>
              <w:ind w:firstLine="210" w:firstLineChars="100"/>
              <w:rPr>
                <w:rFonts w:hint="eastAsia"/>
                <w:highlight w:val="none"/>
              </w:rPr>
            </w:pPr>
            <w:r>
              <w:rPr>
                <w:rFonts w:hint="eastAsia"/>
                <w:highlight w:val="none"/>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hint="eastAsia"/>
                <w:highlight w:val="none"/>
              </w:rPr>
            </w:pPr>
            <w:r>
              <w:rPr>
                <w:rFonts w:hint="eastAsia"/>
                <w:highlight w:val="none"/>
              </w:rPr>
              <w:t>（3）投标函中的报价未超过招标文件设定的最高投标限价。</w:t>
            </w:r>
          </w:p>
          <w:p>
            <w:pPr>
              <w:tabs>
                <w:tab w:val="left" w:pos="3060"/>
              </w:tabs>
              <w:snapToGrid w:val="0"/>
              <w:spacing w:line="320" w:lineRule="exact"/>
              <w:ind w:firstLine="105" w:firstLineChars="50"/>
              <w:rPr>
                <w:rFonts w:hint="eastAsia"/>
                <w:highlight w:val="none"/>
              </w:rPr>
            </w:pPr>
            <w:r>
              <w:rPr>
                <w:rFonts w:hint="eastAsia"/>
                <w:highlight w:val="none"/>
              </w:rPr>
              <w:t>（4）投标函中报价的大写金额能够确定具体数值。</w:t>
            </w:r>
          </w:p>
          <w:p>
            <w:pPr>
              <w:tabs>
                <w:tab w:val="left" w:pos="3060"/>
              </w:tabs>
              <w:snapToGrid w:val="0"/>
              <w:spacing w:line="320" w:lineRule="exact"/>
              <w:ind w:firstLine="105" w:firstLineChars="50"/>
              <w:rPr>
                <w:rFonts w:hint="eastAsia"/>
                <w:highlight w:val="none"/>
              </w:rPr>
            </w:pPr>
            <w:r>
              <w:rPr>
                <w:rFonts w:hint="eastAsia"/>
                <w:highlight w:val="none"/>
              </w:rPr>
              <w:t>（5）同一投标人未提交两个以上不同的投标报价。</w:t>
            </w:r>
          </w:p>
          <w:p>
            <w:pPr>
              <w:tabs>
                <w:tab w:val="left" w:pos="3060"/>
              </w:tabs>
              <w:snapToGrid w:val="0"/>
              <w:spacing w:line="320" w:lineRule="exact"/>
              <w:ind w:firstLine="105" w:firstLineChars="50"/>
              <w:rPr>
                <w:rFonts w:hint="eastAsia"/>
                <w:highlight w:val="none"/>
              </w:rPr>
            </w:pPr>
            <w:r>
              <w:rPr>
                <w:rFonts w:hint="eastAsia"/>
                <w:highlight w:val="none"/>
              </w:rPr>
              <w:t>（6）</w:t>
            </w:r>
            <w:r>
              <w:rPr>
                <w:rFonts w:hint="eastAsia"/>
                <w:highlight w:val="none"/>
                <w:lang w:val="en-US" w:eastAsia="zh-CN"/>
              </w:rPr>
              <w:t>价格</w:t>
            </w:r>
            <w:r>
              <w:rPr>
                <w:rFonts w:hint="eastAsia"/>
                <w:highlight w:val="none"/>
              </w:rPr>
              <w:t>清单中的投标报价与投标函大写金额一致。</w:t>
            </w:r>
          </w:p>
          <w:p>
            <w:pPr>
              <w:tabs>
                <w:tab w:val="left" w:pos="3060"/>
              </w:tabs>
              <w:snapToGrid w:val="0"/>
              <w:spacing w:line="320" w:lineRule="exact"/>
              <w:ind w:firstLine="105" w:firstLineChars="50"/>
              <w:rPr>
                <w:rFonts w:hint="default" w:eastAsia="宋体"/>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cs="宋体"/>
                <w:szCs w:val="21"/>
                <w:highlight w:val="none"/>
                <w:lang w:val="en-US" w:eastAsia="zh-CN"/>
              </w:rPr>
              <w:t>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250" w:type="dxa"/>
            <w:noWrap w:val="0"/>
            <w:vAlign w:val="top"/>
          </w:tcPr>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（1）投标人具备有效的营业执照、资质证书</w:t>
            </w:r>
            <w:r>
              <w:rPr>
                <w:rFonts w:hint="eastAsia" w:ascii="宋体" w:hAnsi="宋体" w:cs="宋体"/>
                <w:szCs w:val="21"/>
                <w:highlight w:val="none"/>
                <w:lang w:val="en-US" w:eastAsia="zh-CN"/>
              </w:rPr>
              <w:t>、</w:t>
            </w:r>
            <w:r>
              <w:rPr>
                <w:rFonts w:hint="eastAsia" w:ascii="宋体" w:hAnsi="宋体" w:eastAsia="宋体" w:cs="宋体"/>
                <w:sz w:val="21"/>
                <w:szCs w:val="21"/>
                <w:highlight w:val="none"/>
              </w:rPr>
              <w:t>安全生产许可证</w:t>
            </w:r>
            <w:r>
              <w:rPr>
                <w:rFonts w:hint="eastAsia" w:ascii="宋体" w:hAnsi="宋体" w:cs="宋体"/>
                <w:szCs w:val="21"/>
                <w:highlight w:val="none"/>
              </w:rPr>
              <w:t>和基本账户开户许可证（或基本存款账户信息）；</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（2）投标人的资质等级符合招标文件规定；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（3）投标人的类似项目业绩符合招标文件规定；</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（4）投标人的信誉符合招标文件规定；</w:t>
            </w:r>
          </w:p>
          <w:p>
            <w:pPr>
              <w:pStyle w:val="2"/>
              <w:snapToGrid w:val="0"/>
              <w:spacing w:after="0" w:line="320" w:lineRule="exact"/>
              <w:rPr>
                <w:rFonts w:hint="eastAsia" w:ascii="宋体" w:hAnsi="宋体"/>
                <w:spacing w:val="-4"/>
                <w:szCs w:val="21"/>
                <w:highlight w:val="none"/>
              </w:rPr>
            </w:pPr>
            <w:r>
              <w:rPr>
                <w:rFonts w:hint="eastAsia" w:ascii="宋体" w:hAnsi="宋体" w:cs="宋体"/>
                <w:szCs w:val="21"/>
                <w:highlight w:val="none"/>
              </w:rPr>
              <w:t>（5）</w:t>
            </w:r>
            <w:r>
              <w:rPr>
                <w:rFonts w:hint="eastAsia" w:ascii="宋体" w:hAnsi="宋体"/>
                <w:bCs/>
                <w:szCs w:val="21"/>
                <w:highlight w:val="none"/>
              </w:rPr>
              <w:t>投标人的项目经理（兼施工负责人）、项目总工和设计负责人符合招标文件规定</w:t>
            </w:r>
            <w:r>
              <w:rPr>
                <w:rFonts w:hint="eastAsia" w:ascii="宋体" w:hAnsi="宋体"/>
                <w:spacing w:val="-4"/>
                <w:szCs w:val="21"/>
                <w:highlight w:val="none"/>
              </w:rPr>
              <w:t>；</w:t>
            </w:r>
          </w:p>
          <w:p>
            <w:pPr>
              <w:tabs>
                <w:tab w:val="left" w:pos="3060"/>
              </w:tabs>
              <w:snapToGrid w:val="0"/>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bCs/>
                <w:szCs w:val="21"/>
                <w:highlight w:val="none"/>
              </w:rPr>
              <w:t>投标人不存在第二章“投标人须知”第1.4.</w:t>
            </w:r>
            <w:r>
              <w:rPr>
                <w:rFonts w:hint="eastAsia" w:ascii="宋体" w:hAnsi="宋体"/>
                <w:bCs/>
                <w:szCs w:val="21"/>
                <w:highlight w:val="none"/>
                <w:lang w:val="en-US" w:eastAsia="zh-CN"/>
              </w:rPr>
              <w:t>3</w:t>
            </w:r>
            <w:r>
              <w:rPr>
                <w:rFonts w:hint="eastAsia" w:ascii="宋体" w:hAnsi="宋体"/>
                <w:bCs/>
                <w:szCs w:val="21"/>
                <w:highlight w:val="none"/>
              </w:rPr>
              <w:t>项</w:t>
            </w:r>
            <w:r>
              <w:rPr>
                <w:rFonts w:hint="eastAsia" w:ascii="宋体" w:hAnsi="宋体"/>
                <w:bCs/>
                <w:szCs w:val="21"/>
                <w:highlight w:val="none"/>
                <w:lang w:eastAsia="zh-CN"/>
              </w:rPr>
              <w:t>、</w:t>
            </w:r>
            <w:r>
              <w:rPr>
                <w:rFonts w:hint="eastAsia" w:ascii="宋体" w:hAnsi="宋体"/>
                <w:bCs/>
                <w:szCs w:val="21"/>
                <w:highlight w:val="none"/>
              </w:rPr>
              <w:t>第1.4.</w:t>
            </w:r>
            <w:r>
              <w:rPr>
                <w:rFonts w:hint="eastAsia" w:ascii="宋体" w:hAnsi="宋体"/>
                <w:bCs/>
                <w:szCs w:val="21"/>
                <w:highlight w:val="none"/>
                <w:lang w:val="en-US" w:eastAsia="zh-CN"/>
              </w:rPr>
              <w:t>4</w:t>
            </w:r>
            <w:r>
              <w:rPr>
                <w:rFonts w:hint="eastAsia" w:ascii="宋体" w:hAnsi="宋体"/>
                <w:bCs/>
                <w:szCs w:val="21"/>
                <w:highlight w:val="none"/>
              </w:rPr>
              <w:t>项</w:t>
            </w:r>
            <w:r>
              <w:rPr>
                <w:rFonts w:hint="eastAsia" w:ascii="宋体" w:hAnsi="宋体"/>
                <w:bCs/>
                <w:szCs w:val="21"/>
                <w:highlight w:val="none"/>
                <w:lang w:eastAsia="zh-CN"/>
              </w:rPr>
              <w:t>、</w:t>
            </w:r>
            <w:r>
              <w:rPr>
                <w:rFonts w:hint="eastAsia" w:ascii="宋体" w:hAnsi="宋体"/>
                <w:bCs/>
                <w:szCs w:val="21"/>
                <w:highlight w:val="none"/>
              </w:rPr>
              <w:t>第1.4.</w:t>
            </w:r>
            <w:r>
              <w:rPr>
                <w:rFonts w:hint="eastAsia" w:ascii="宋体" w:hAnsi="宋体"/>
                <w:bCs/>
                <w:szCs w:val="21"/>
                <w:highlight w:val="none"/>
                <w:lang w:val="en-US" w:eastAsia="zh-CN"/>
              </w:rPr>
              <w:t>5</w:t>
            </w:r>
            <w:r>
              <w:rPr>
                <w:rFonts w:hint="eastAsia" w:ascii="宋体" w:hAnsi="宋体"/>
                <w:bCs/>
                <w:szCs w:val="21"/>
                <w:highlight w:val="none"/>
              </w:rPr>
              <w:t>项规定的任何一种情形</w:t>
            </w:r>
            <w:r>
              <w:rPr>
                <w:rFonts w:hint="eastAsia" w:ascii="宋体" w:hAnsi="宋体" w:cs="宋体"/>
                <w:szCs w:val="21"/>
                <w:highlight w:val="none"/>
              </w:rPr>
              <w:t>。</w:t>
            </w:r>
          </w:p>
          <w:p>
            <w:pPr>
              <w:tabs>
                <w:tab w:val="left" w:pos="3060"/>
              </w:tabs>
              <w:snapToGrid w:val="0"/>
              <w:spacing w:line="320" w:lineRule="exact"/>
              <w:rPr>
                <w:rFonts w:hint="eastAsia"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bCs/>
                <w:szCs w:val="21"/>
                <w:highlight w:val="none"/>
              </w:rPr>
              <w:t>以联合体形式参加投标的，联合体各方均未再以自己名义单独或参加其他联合体的投标</w:t>
            </w:r>
            <w:r>
              <w:rPr>
                <w:rFonts w:hint="eastAsia" w:ascii="宋体" w:hAnsi="宋体"/>
                <w:bCs/>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2.2.1</w:t>
            </w:r>
          </w:p>
        </w:tc>
        <w:tc>
          <w:tcPr>
            <w:tcW w:w="1052" w:type="dxa"/>
            <w:noWrap w:val="0"/>
            <w:vAlign w:val="center"/>
          </w:tcPr>
          <w:p>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tc>
        <w:tc>
          <w:tcPr>
            <w:tcW w:w="7250" w:type="dxa"/>
            <w:noWrap w:val="0"/>
            <w:vAlign w:val="center"/>
          </w:tcPr>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第一信封（商务及技术文件）评分分值构成：</w:t>
            </w:r>
          </w:p>
          <w:p>
            <w:pPr>
              <w:autoSpaceDE w:val="0"/>
              <w:autoSpaceDN w:val="0"/>
              <w:adjustRightInd w:val="0"/>
              <w:snapToGrid w:val="0"/>
              <w:spacing w:line="320" w:lineRule="exact"/>
              <w:ind w:left="107"/>
              <w:jc w:val="left"/>
              <w:rPr>
                <w:rFonts w:hint="default" w:ascii="宋体" w:hAnsi="宋体" w:eastAsia="宋体"/>
                <w:szCs w:val="21"/>
                <w:highlight w:val="none"/>
                <w:lang w:val="en-US" w:eastAsia="zh-CN"/>
              </w:rPr>
            </w:pPr>
            <w:r>
              <w:rPr>
                <w:sz w:val="21"/>
                <w:highlight w:val="none"/>
              </w:rPr>
              <w:t>承包人建议书</w:t>
            </w:r>
            <w:r>
              <w:rPr>
                <w:rFonts w:hint="eastAsia" w:ascii="宋体" w:hAnsi="宋体"/>
                <w:szCs w:val="21"/>
                <w:highlight w:val="none"/>
              </w:rPr>
              <w:t>：</w:t>
            </w:r>
            <w:r>
              <w:rPr>
                <w:rFonts w:hint="eastAsia"/>
                <w:sz w:val="21"/>
                <w:highlight w:val="none"/>
                <w:lang w:val="en-US" w:eastAsia="zh-CN"/>
              </w:rPr>
              <w:t>15分</w:t>
            </w:r>
          </w:p>
          <w:p>
            <w:pPr>
              <w:autoSpaceDE w:val="0"/>
              <w:autoSpaceDN w:val="0"/>
              <w:adjustRightInd w:val="0"/>
              <w:snapToGrid w:val="0"/>
              <w:spacing w:line="320" w:lineRule="exact"/>
              <w:ind w:left="107"/>
              <w:jc w:val="left"/>
              <w:rPr>
                <w:rFonts w:hint="default" w:ascii="宋体" w:hAnsi="宋体" w:eastAsia="宋体"/>
                <w:szCs w:val="21"/>
                <w:highlight w:val="none"/>
                <w:lang w:val="en-US" w:eastAsia="zh-CN"/>
              </w:rPr>
            </w:pPr>
            <w:r>
              <w:rPr>
                <w:sz w:val="21"/>
                <w:highlight w:val="none"/>
              </w:rPr>
              <w:t>资信业绩部分</w:t>
            </w:r>
            <w:r>
              <w:rPr>
                <w:rFonts w:hint="eastAsia" w:ascii="宋体" w:hAnsi="宋体"/>
                <w:szCs w:val="21"/>
                <w:highlight w:val="none"/>
              </w:rPr>
              <w:t>：</w:t>
            </w:r>
            <w:r>
              <w:rPr>
                <w:rFonts w:hint="eastAsia" w:ascii="宋体" w:hAnsi="宋体"/>
                <w:szCs w:val="21"/>
                <w:highlight w:val="none"/>
                <w:lang w:val="en-US" w:eastAsia="zh-CN"/>
              </w:rPr>
              <w:t>5分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sz w:val="21"/>
                <w:highlight w:val="none"/>
              </w:rPr>
              <w:t>承包人实施方案</w:t>
            </w:r>
            <w:r>
              <w:rPr>
                <w:rFonts w:hint="eastAsia" w:ascii="宋体" w:hAnsi="宋体"/>
                <w:szCs w:val="21"/>
                <w:highlight w:val="none"/>
              </w:rPr>
              <w:t>：</w:t>
            </w:r>
            <w:r>
              <w:rPr>
                <w:rFonts w:hint="eastAsia" w:ascii="宋体" w:hAnsi="宋体"/>
                <w:szCs w:val="21"/>
                <w:highlight w:val="none"/>
                <w:lang w:val="en-US" w:eastAsia="zh-CN"/>
              </w:rPr>
              <w:t>30</w:t>
            </w:r>
            <w:r>
              <w:rPr>
                <w:rFonts w:hint="eastAsia" w:ascii="宋体" w:hAnsi="宋体"/>
                <w:szCs w:val="21"/>
                <w:highlight w:val="none"/>
              </w:rPr>
              <w:t>分</w:t>
            </w:r>
          </w:p>
          <w:p>
            <w:pPr>
              <w:autoSpaceDE w:val="0"/>
              <w:autoSpaceDN w:val="0"/>
              <w:adjustRightInd w:val="0"/>
              <w:snapToGrid w:val="0"/>
              <w:spacing w:line="320" w:lineRule="exact"/>
              <w:ind w:left="107"/>
              <w:jc w:val="left"/>
              <w:rPr>
                <w:rFonts w:hint="eastAsia" w:ascii="宋体" w:hAnsi="宋体" w:cs="宋体"/>
                <w:kern w:val="0"/>
                <w:szCs w:val="21"/>
                <w:highlight w:val="none"/>
              </w:rPr>
            </w:pPr>
            <w:r>
              <w:rPr>
                <w:rFonts w:hint="eastAsia" w:ascii="宋体" w:hAnsi="宋体" w:cs="宋体"/>
                <w:kern w:val="0"/>
                <w:szCs w:val="21"/>
                <w:highlight w:val="none"/>
              </w:rPr>
              <w:t>其他因素：</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w:t>
            </w:r>
          </w:p>
          <w:p>
            <w:pPr>
              <w:autoSpaceDE w:val="0"/>
              <w:autoSpaceDN w:val="0"/>
              <w:adjustRightInd w:val="0"/>
              <w:snapToGrid w:val="0"/>
              <w:spacing w:line="320" w:lineRule="exact"/>
              <w:ind w:left="107"/>
              <w:jc w:val="left"/>
              <w:rPr>
                <w:rFonts w:hint="eastAsia" w:ascii="宋体" w:hAnsi="宋体" w:cs="宋体"/>
                <w:b/>
                <w:kern w:val="0"/>
                <w:szCs w:val="21"/>
                <w:highlight w:val="none"/>
              </w:rPr>
            </w:pPr>
            <w:r>
              <w:rPr>
                <w:rFonts w:hint="eastAsia" w:ascii="宋体" w:hAnsi="宋体" w:cs="宋体"/>
                <w:b/>
                <w:kern w:val="0"/>
                <w:szCs w:val="21"/>
                <w:highlight w:val="none"/>
              </w:rPr>
              <w:t>第二信封（报价文件）评分分值构成：</w:t>
            </w:r>
          </w:p>
          <w:p>
            <w:pPr>
              <w:autoSpaceDE w:val="0"/>
              <w:autoSpaceDN w:val="0"/>
              <w:adjustRightInd w:val="0"/>
              <w:snapToGrid w:val="0"/>
              <w:spacing w:line="320" w:lineRule="exact"/>
              <w:ind w:left="107"/>
              <w:jc w:val="left"/>
              <w:rPr>
                <w:rFonts w:hint="eastAsia" w:ascii="宋体" w:hAnsi="宋体" w:cs="宋体"/>
                <w:szCs w:val="21"/>
                <w:highlight w:val="none"/>
              </w:rPr>
            </w:pPr>
            <w:r>
              <w:rPr>
                <w:rFonts w:hint="eastAsia" w:ascii="宋体" w:hAnsi="宋体" w:cs="宋体"/>
                <w:szCs w:val="21"/>
                <w:highlight w:val="none"/>
              </w:rPr>
              <w:t xml:space="preserve">评标价：  </w:t>
            </w:r>
            <w:r>
              <w:rPr>
                <w:rFonts w:hint="eastAsia" w:ascii="宋体" w:hAnsi="宋体" w:cs="宋体"/>
                <w:szCs w:val="21"/>
                <w:highlight w:val="none"/>
                <w:lang w:val="en-US" w:eastAsia="zh-CN"/>
              </w:rPr>
              <w:t>50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2.2.2</w:t>
            </w:r>
          </w:p>
        </w:tc>
        <w:tc>
          <w:tcPr>
            <w:tcW w:w="1052" w:type="dxa"/>
            <w:noWrap w:val="0"/>
            <w:vAlign w:val="center"/>
          </w:tcPr>
          <w:p>
            <w:pPr>
              <w:snapToGrid w:val="0"/>
              <w:spacing w:line="320" w:lineRule="exact"/>
              <w:ind w:left="2"/>
              <w:jc w:val="center"/>
              <w:rPr>
                <w:rFonts w:hint="eastAsia" w:ascii="宋体" w:hAnsi="宋体" w:cs="宋体"/>
                <w:szCs w:val="21"/>
                <w:highlight w:val="none"/>
              </w:rPr>
            </w:pPr>
            <w:r>
              <w:rPr>
                <w:rFonts w:hint="eastAsia" w:ascii="宋体" w:hAnsi="宋体" w:cs="宋体"/>
                <w:szCs w:val="21"/>
                <w:highlight w:val="none"/>
              </w:rPr>
              <w:t>评标基准价计算方法</w:t>
            </w:r>
          </w:p>
        </w:tc>
        <w:tc>
          <w:tcPr>
            <w:tcW w:w="7250" w:type="dxa"/>
            <w:noWrap w:val="0"/>
            <w:vAlign w:val="center"/>
          </w:tcPr>
          <w:p>
            <w:pPr>
              <w:snapToGrid w:val="0"/>
              <w:spacing w:line="320" w:lineRule="exact"/>
              <w:ind w:right="113"/>
              <w:rPr>
                <w:rFonts w:hint="eastAsia" w:ascii="宋体" w:hAnsi="宋体" w:cs="宋体"/>
                <w:szCs w:val="21"/>
                <w:highlight w:val="none"/>
              </w:rPr>
            </w:pPr>
            <w:r>
              <w:rPr>
                <w:rFonts w:hint="eastAsia" w:ascii="宋体" w:hAnsi="宋体" w:cs="宋体"/>
                <w:szCs w:val="21"/>
                <w:highlight w:val="none"/>
              </w:rPr>
              <w:t>评标基准价的计算：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所有通过第一个信封评审的投标文件，由评标委员会开启第二个信封，并当场计算并宣布评标基准价。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（1）评标价的确定：</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评标价=投标函文字报价</w:t>
            </w:r>
          </w:p>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（2）评标价平均值的计算：</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hint="eastAsia" w:ascii="宋体" w:hAnsi="宋体" w:cs="宋体"/>
                <w:szCs w:val="21"/>
                <w:highlight w:val="none"/>
              </w:rPr>
            </w:pPr>
            <w:r>
              <w:rPr>
                <w:rFonts w:hint="eastAsia" w:ascii="宋体" w:hAnsi="宋体" w:cs="宋体"/>
                <w:szCs w:val="21"/>
                <w:highlight w:val="none"/>
              </w:rPr>
              <w:t>（3）评标基准价的确定：</w:t>
            </w:r>
          </w:p>
          <w:p>
            <w:pPr>
              <w:pStyle w:val="13"/>
              <w:snapToGrid w:val="0"/>
              <w:spacing w:line="320" w:lineRule="exact"/>
              <w:ind w:firstLine="420" w:firstLineChars="200"/>
              <w:jc w:val="both"/>
              <w:rPr>
                <w:rFonts w:hint="eastAsia" w:hAnsi="宋体" w:cs="宋体"/>
                <w:sz w:val="21"/>
                <w:szCs w:val="21"/>
                <w:highlight w:val="none"/>
              </w:rPr>
            </w:pPr>
            <w:r>
              <w:rPr>
                <w:rFonts w:hint="eastAsia" w:hAnsi="宋体" w:cs="宋体"/>
                <w:sz w:val="21"/>
                <w:szCs w:val="21"/>
                <w:highlight w:val="none"/>
              </w:rPr>
              <w:t>将评标价平均值直接作为评标基准价（评标基准价保留两位小数，小数点后第三位四舍五入）。</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2.2.3</w:t>
            </w:r>
          </w:p>
        </w:tc>
        <w:tc>
          <w:tcPr>
            <w:tcW w:w="1052" w:type="dxa"/>
            <w:noWrap w:val="0"/>
            <w:vAlign w:val="center"/>
          </w:tcPr>
          <w:p>
            <w:pPr>
              <w:snapToGrid w:val="0"/>
              <w:spacing w:line="320" w:lineRule="exact"/>
              <w:ind w:left="-31" w:leftChars="-15" w:right="-77"/>
              <w:rPr>
                <w:rFonts w:hint="eastAsia" w:ascii="宋体" w:hAnsi="宋体" w:cs="宋体"/>
                <w:szCs w:val="21"/>
                <w:highlight w:val="none"/>
              </w:rPr>
            </w:pPr>
            <w:r>
              <w:rPr>
                <w:rFonts w:hint="eastAsia" w:ascii="宋体" w:hAnsi="宋体" w:cs="宋体"/>
                <w:szCs w:val="21"/>
                <w:highlight w:val="none"/>
              </w:rPr>
              <w:t>评标价的偏差率计算公式</w:t>
            </w:r>
          </w:p>
        </w:tc>
        <w:tc>
          <w:tcPr>
            <w:tcW w:w="7250" w:type="dxa"/>
            <w:noWrap w:val="0"/>
            <w:vAlign w:val="center"/>
          </w:tcPr>
          <w:p>
            <w:pPr>
              <w:snapToGrid w:val="0"/>
              <w:spacing w:line="320" w:lineRule="exact"/>
              <w:ind w:left="113" w:right="113" w:firstLine="210" w:firstLineChars="100"/>
              <w:rPr>
                <w:rFonts w:hint="eastAsia" w:ascii="宋体" w:hAnsi="宋体" w:cs="宋体"/>
                <w:szCs w:val="21"/>
                <w:highlight w:val="none"/>
              </w:rPr>
            </w:pPr>
            <w:r>
              <w:rPr>
                <w:rFonts w:hint="eastAsia" w:ascii="宋体" w:hAnsi="宋体" w:cs="宋体"/>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3.6.1</w:t>
            </w:r>
          </w:p>
        </w:tc>
        <w:tc>
          <w:tcPr>
            <w:tcW w:w="1052" w:type="dxa"/>
            <w:noWrap w:val="0"/>
            <w:vAlign w:val="center"/>
          </w:tcPr>
          <w:p>
            <w:pPr>
              <w:snapToGrid w:val="0"/>
              <w:spacing w:line="320" w:lineRule="exact"/>
              <w:ind w:left="-31" w:leftChars="-15" w:right="-77"/>
              <w:rPr>
                <w:rFonts w:hint="eastAsia" w:ascii="宋体" w:hAnsi="宋体" w:cs="宋体"/>
                <w:szCs w:val="21"/>
                <w:highlight w:val="none"/>
              </w:rPr>
            </w:pPr>
            <w:r>
              <w:rPr>
                <w:rFonts w:hint="eastAsia" w:ascii="宋体" w:hAnsi="宋体" w:cs="宋体"/>
                <w:szCs w:val="21"/>
                <w:highlight w:val="none"/>
              </w:rPr>
              <w:t>投标文件相关信息核查</w:t>
            </w:r>
          </w:p>
        </w:tc>
        <w:tc>
          <w:tcPr>
            <w:tcW w:w="7250"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评标委员会评标时对投标人的信用情况在“国家企业信用信息公示系统（http://www.gsxt.gov.cn/)”进行查询，若投标人存在被列入“严重违法失信名单”情形的（不含分公司），评标委员会应否决其投标。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还应对投标人的信用情况在“信用中国网站（http://www.creditchina.gov.cn/)”进行查询，若投标人存在被列入“失信被执行人、异常经营名录、税收违法黑名单、政府采购严重违法失信行为记录名单”情形的（均不含分公司），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所附项目负责人如为一级注册建造师，所附建造师信息的网页截图复印件与“全国建筑市场监管公共服务平台（http://jzsc.mohurd.gov.cn/home）”核查的结果一致，并满足招标文件资格审查条件要求。</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项目负责人的建造师注册证书的注册单位名称必须与投标人名称一致。</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如投标人未提供相关网页截图或所附截图内容与网站查询结果不一致，评标委员会应否决其投标。</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noWrap w:val="0"/>
            <w:vAlign w:val="center"/>
          </w:tcPr>
          <w:p>
            <w:pPr>
              <w:snapToGrid w:val="0"/>
              <w:spacing w:line="320" w:lineRule="exact"/>
              <w:ind w:right="113"/>
              <w:jc w:val="center"/>
              <w:rPr>
                <w:rFonts w:hint="eastAsia" w:ascii="宋体" w:hAnsi="宋体" w:cs="宋体"/>
                <w:szCs w:val="21"/>
                <w:highlight w:val="none"/>
              </w:rPr>
            </w:pPr>
            <w:r>
              <w:rPr>
                <w:rFonts w:hint="eastAsia" w:ascii="宋体" w:hAnsi="宋体" w:cs="宋体"/>
                <w:szCs w:val="21"/>
                <w:highlight w:val="none"/>
              </w:rPr>
              <w:t>3.9.1</w:t>
            </w:r>
          </w:p>
        </w:tc>
        <w:tc>
          <w:tcPr>
            <w:tcW w:w="1052" w:type="dxa"/>
            <w:noWrap w:val="0"/>
            <w:vAlign w:val="center"/>
          </w:tcPr>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评标</w:t>
            </w:r>
          </w:p>
          <w:p>
            <w:pPr>
              <w:snapToGrid w:val="0"/>
              <w:spacing w:line="320" w:lineRule="exact"/>
              <w:ind w:left="-31" w:leftChars="-15" w:right="-77"/>
              <w:jc w:val="center"/>
              <w:rPr>
                <w:rFonts w:hint="eastAsia" w:ascii="宋体" w:hAnsi="宋体" w:cs="宋体"/>
                <w:szCs w:val="21"/>
                <w:highlight w:val="none"/>
              </w:rPr>
            </w:pPr>
            <w:r>
              <w:rPr>
                <w:rFonts w:hint="eastAsia" w:ascii="宋体" w:hAnsi="宋体" w:cs="宋体"/>
                <w:szCs w:val="21"/>
                <w:highlight w:val="none"/>
              </w:rPr>
              <w:t>结果</w:t>
            </w:r>
          </w:p>
        </w:tc>
        <w:tc>
          <w:tcPr>
            <w:tcW w:w="7250" w:type="dxa"/>
            <w:noWrap w:val="0"/>
            <w:vAlign w:val="center"/>
          </w:tcPr>
          <w:p>
            <w:pPr>
              <w:snapToGrid w:val="0"/>
              <w:spacing w:line="320" w:lineRule="exact"/>
              <w:ind w:right="113" w:firstLine="426" w:firstLineChars="203"/>
              <w:rPr>
                <w:rFonts w:hint="eastAsia" w:ascii="宋体" w:hAnsi="宋体" w:cs="宋体"/>
                <w:szCs w:val="21"/>
                <w:highlight w:val="none"/>
              </w:rPr>
            </w:pPr>
            <w:r>
              <w:rPr>
                <w:rFonts w:hint="eastAsia" w:ascii="宋体" w:hAnsi="宋体" w:cs="宋体"/>
                <w:szCs w:val="21"/>
                <w:highlight w:val="none"/>
              </w:rPr>
              <w:t>除第二章“投标人须知”前附表授权直接确定中标人外，评标委员会按照评标办法前附表“1.评标办法”的规定推荐中标候选人。</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405"/>
        <w:gridCol w:w="563"/>
        <w:gridCol w:w="5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74" w:type="dxa"/>
            <w:gridSpan w:val="5"/>
            <w:noWrap w:val="0"/>
            <w:vAlign w:val="center"/>
          </w:tcPr>
          <w:p>
            <w:pPr>
              <w:pStyle w:val="5"/>
              <w:snapToGrid w:val="0"/>
              <w:spacing w:line="320" w:lineRule="exact"/>
              <w:jc w:val="center"/>
              <w:rPr>
                <w:rFonts w:hAnsi="宋体"/>
                <w:highlight w:val="none"/>
              </w:rPr>
            </w:pPr>
            <w:r>
              <w:rPr>
                <w:rFonts w:hint="eastAsia" w:hAnsi="宋体"/>
                <w:highlight w:val="none"/>
              </w:rPr>
              <w:t>评分因素与权重分值</w:t>
            </w:r>
          </w:p>
        </w:tc>
        <w:tc>
          <w:tcPr>
            <w:tcW w:w="5578" w:type="dxa"/>
            <w:vMerge w:val="restart"/>
            <w:noWrap w:val="0"/>
            <w:vAlign w:val="center"/>
          </w:tcPr>
          <w:p>
            <w:pPr>
              <w:pStyle w:val="5"/>
              <w:snapToGrid w:val="0"/>
              <w:spacing w:line="320" w:lineRule="exact"/>
              <w:jc w:val="center"/>
              <w:rPr>
                <w:rFonts w:hAnsi="宋体"/>
                <w:highlight w:val="none"/>
              </w:rPr>
            </w:pPr>
            <w:r>
              <w:rPr>
                <w:rFonts w:hint="eastAsia" w:hAnsi="宋体"/>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20" w:lineRule="exact"/>
              <w:ind w:left="-40" w:leftChars="-19" w:right="-31" w:rightChars="-15" w:firstLine="1"/>
              <w:jc w:val="center"/>
              <w:rPr>
                <w:rFonts w:hAnsi="宋体"/>
                <w:highlight w:val="none"/>
              </w:rPr>
            </w:pPr>
            <w:r>
              <w:rPr>
                <w:rFonts w:hint="eastAsia" w:hAnsi="宋体"/>
                <w:highlight w:val="none"/>
              </w:rPr>
              <w:t>评分因素 权重分值</w:t>
            </w:r>
          </w:p>
        </w:tc>
        <w:tc>
          <w:tcPr>
            <w:tcW w:w="1405"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20" w:lineRule="exact"/>
              <w:jc w:val="center"/>
              <w:rPr>
                <w:rFonts w:hAnsi="宋体"/>
                <w:highlight w:val="none"/>
              </w:rPr>
            </w:pPr>
            <w:r>
              <w:rPr>
                <w:rStyle w:val="14"/>
                <w:color w:val="auto"/>
                <w:highlight w:val="none"/>
              </w:rPr>
              <w:t>各评分因素细分项</w:t>
            </w:r>
          </w:p>
        </w:tc>
        <w:tc>
          <w:tcPr>
            <w:tcW w:w="563" w:type="dxa"/>
            <w:tcBorders>
              <w:left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rPr>
              <w:t>分值</w:t>
            </w:r>
          </w:p>
        </w:tc>
        <w:tc>
          <w:tcPr>
            <w:tcW w:w="5578" w:type="dxa"/>
            <w:vMerge w:val="continue"/>
            <w:noWrap w:val="0"/>
            <w:vAlign w:val="center"/>
          </w:tcPr>
          <w:p>
            <w:pPr>
              <w:pStyle w:val="5"/>
              <w:snapToGrid w:val="0"/>
              <w:spacing w:line="320" w:lineRule="exact"/>
              <w:jc w:val="cente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41" w:type="dxa"/>
            <w:vMerge w:val="restart"/>
            <w:tcBorders>
              <w:top w:val="single" w:color="auto" w:sz="4" w:space="0"/>
            </w:tcBorders>
            <w:noWrap w:val="0"/>
            <w:vAlign w:val="top"/>
          </w:tcPr>
          <w:p>
            <w:pPr>
              <w:pStyle w:val="15"/>
              <w:rPr>
                <w:rFonts w:hint="eastAsia" w:ascii="宋体" w:hAnsi="宋体" w:eastAsia="宋体" w:cs="宋体"/>
                <w:sz w:val="21"/>
                <w:szCs w:val="21"/>
                <w:highlight w:val="none"/>
              </w:rPr>
            </w:pPr>
          </w:p>
          <w:p>
            <w:pPr>
              <w:pStyle w:val="15"/>
              <w:rPr>
                <w:rFonts w:hint="eastAsia" w:ascii="宋体" w:hAnsi="宋体" w:eastAsia="宋体" w:cs="宋体"/>
                <w:sz w:val="21"/>
                <w:szCs w:val="21"/>
                <w:highlight w:val="none"/>
              </w:rPr>
            </w:pPr>
          </w:p>
          <w:p>
            <w:pPr>
              <w:pStyle w:val="15"/>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15"/>
              <w:spacing w:before="5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 </w:t>
            </w:r>
          </w:p>
        </w:tc>
        <w:tc>
          <w:tcPr>
            <w:tcW w:w="741" w:type="dxa"/>
            <w:vMerge w:val="restart"/>
            <w:tcBorders>
              <w:top w:val="single" w:color="auto" w:sz="4" w:space="0"/>
            </w:tcBorders>
            <w:noWrap w:val="0"/>
            <w:vAlign w:val="top"/>
          </w:tcPr>
          <w:p>
            <w:pPr>
              <w:pStyle w:val="15"/>
              <w:rPr>
                <w:rFonts w:hint="eastAsia" w:ascii="宋体" w:hAnsi="宋体" w:eastAsia="宋体" w:cs="宋体"/>
                <w:sz w:val="21"/>
                <w:szCs w:val="21"/>
                <w:highlight w:val="none"/>
              </w:rPr>
            </w:pPr>
          </w:p>
          <w:p>
            <w:pPr>
              <w:pStyle w:val="15"/>
              <w:rPr>
                <w:rFonts w:hint="eastAsia" w:ascii="宋体" w:hAnsi="宋体" w:eastAsia="宋体" w:cs="宋体"/>
                <w:sz w:val="21"/>
                <w:szCs w:val="21"/>
                <w:highlight w:val="none"/>
              </w:rPr>
            </w:pPr>
          </w:p>
          <w:p>
            <w:pPr>
              <w:pStyle w:val="15"/>
              <w:spacing w:line="285" w:lineRule="auto"/>
              <w:ind w:right="78"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承包人建议书 </w:t>
            </w:r>
          </w:p>
        </w:tc>
        <w:tc>
          <w:tcPr>
            <w:tcW w:w="624" w:type="dxa"/>
            <w:vMerge w:val="restart"/>
            <w:tcBorders>
              <w:top w:val="single" w:color="auto" w:sz="4" w:space="0"/>
            </w:tcBorders>
            <w:noWrap w:val="0"/>
            <w:vAlign w:val="top"/>
          </w:tcPr>
          <w:p>
            <w:pPr>
              <w:pStyle w:val="15"/>
              <w:rPr>
                <w:rFonts w:hint="eastAsia" w:ascii="宋体" w:hAnsi="宋体" w:eastAsia="宋体" w:cs="宋体"/>
                <w:sz w:val="21"/>
                <w:szCs w:val="21"/>
                <w:highlight w:val="none"/>
              </w:rPr>
            </w:pPr>
          </w:p>
          <w:p>
            <w:pPr>
              <w:pStyle w:val="15"/>
              <w:rPr>
                <w:rFonts w:hint="eastAsia" w:ascii="宋体" w:hAnsi="宋体" w:eastAsia="宋体" w:cs="宋体"/>
                <w:sz w:val="21"/>
                <w:szCs w:val="21"/>
                <w:highlight w:val="none"/>
              </w:rPr>
            </w:pPr>
          </w:p>
          <w:p>
            <w:pPr>
              <w:pStyle w:val="15"/>
              <w:spacing w:before="161"/>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tc>
        <w:tc>
          <w:tcPr>
            <w:tcW w:w="1405" w:type="dxa"/>
            <w:tcBorders>
              <w:top w:val="single" w:color="auto" w:sz="4" w:space="0"/>
            </w:tcBorders>
            <w:noWrap w:val="0"/>
            <w:vAlign w:val="top"/>
          </w:tcPr>
          <w:p>
            <w:pPr>
              <w:pStyle w:val="15"/>
              <w:spacing w:before="9"/>
              <w:jc w:val="center"/>
              <w:rPr>
                <w:rFonts w:hint="eastAsia" w:ascii="宋体" w:hAnsi="宋体" w:eastAsia="宋体" w:cs="宋体"/>
                <w:sz w:val="21"/>
                <w:szCs w:val="21"/>
                <w:highlight w:val="none"/>
              </w:rPr>
            </w:pPr>
          </w:p>
          <w:p>
            <w:pPr>
              <w:pStyle w:val="15"/>
              <w:ind w:right="78"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设计工作方案</w:t>
            </w:r>
          </w:p>
        </w:tc>
        <w:tc>
          <w:tcPr>
            <w:tcW w:w="563" w:type="dxa"/>
            <w:noWrap w:val="0"/>
            <w:vAlign w:val="top"/>
          </w:tcPr>
          <w:p>
            <w:pPr>
              <w:pStyle w:val="15"/>
              <w:spacing w:before="9"/>
              <w:jc w:val="center"/>
              <w:rPr>
                <w:rFonts w:hint="eastAsia" w:ascii="宋体" w:hAnsi="宋体" w:eastAsia="宋体" w:cs="宋体"/>
                <w:sz w:val="21"/>
                <w:szCs w:val="21"/>
                <w:highlight w:val="none"/>
              </w:rPr>
            </w:pPr>
          </w:p>
          <w:p>
            <w:pPr>
              <w:pStyle w:val="15"/>
              <w:ind w:right="31"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578" w:type="dxa"/>
            <w:noWrap w:val="0"/>
            <w:vAlign w:val="top"/>
          </w:tcPr>
          <w:p>
            <w:pPr>
              <w:pStyle w:val="15"/>
              <w:spacing w:before="46"/>
              <w:ind w:right="-15"/>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方案非常合理、突出、详细，得 8.0（不含）-10.0 分；</w:t>
            </w:r>
          </w:p>
          <w:p>
            <w:pPr>
              <w:pStyle w:val="15"/>
              <w:spacing w:before="2" w:line="320" w:lineRule="atLeast"/>
              <w:ind w:right="-15" w:right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方案合理、实施性强，得 6.0（不含）-8.0（含）分； </w:t>
            </w:r>
          </w:p>
          <w:p>
            <w:pPr>
              <w:pStyle w:val="15"/>
              <w:spacing w:before="2" w:line="320" w:lineRule="atLeast"/>
              <w:ind w:right="-15" w:right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方案基本合理、实施性一般，得 6.0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41" w:type="dxa"/>
            <w:vMerge w:val="continue"/>
            <w:noWrap w:val="0"/>
            <w:vAlign w:val="top"/>
          </w:tcPr>
          <w:p>
            <w:pPr>
              <w:pStyle w:val="15"/>
              <w:spacing w:before="50"/>
              <w:rPr>
                <w:rFonts w:hint="eastAsia" w:ascii="宋体" w:hAnsi="宋体" w:eastAsia="宋体" w:cs="宋体"/>
                <w:sz w:val="21"/>
                <w:szCs w:val="21"/>
                <w:highlight w:val="none"/>
              </w:rPr>
            </w:pPr>
          </w:p>
        </w:tc>
        <w:tc>
          <w:tcPr>
            <w:tcW w:w="741" w:type="dxa"/>
            <w:vMerge w:val="continue"/>
            <w:noWrap w:val="0"/>
            <w:vAlign w:val="top"/>
          </w:tcPr>
          <w:p>
            <w:pPr>
              <w:pStyle w:val="15"/>
              <w:spacing w:line="285" w:lineRule="auto"/>
              <w:ind w:right="78" w:rightChars="0"/>
              <w:rPr>
                <w:rFonts w:hint="eastAsia" w:ascii="宋体" w:hAnsi="宋体" w:eastAsia="宋体" w:cs="宋体"/>
                <w:sz w:val="21"/>
                <w:szCs w:val="21"/>
                <w:highlight w:val="none"/>
              </w:rPr>
            </w:pPr>
          </w:p>
        </w:tc>
        <w:tc>
          <w:tcPr>
            <w:tcW w:w="624" w:type="dxa"/>
            <w:vMerge w:val="continue"/>
            <w:noWrap w:val="0"/>
            <w:vAlign w:val="top"/>
          </w:tcPr>
          <w:p>
            <w:pPr>
              <w:pStyle w:val="15"/>
              <w:spacing w:before="161"/>
              <w:ind w:left="120" w:leftChars="0"/>
              <w:rPr>
                <w:rFonts w:hint="eastAsia" w:ascii="宋体" w:hAnsi="宋体" w:eastAsia="宋体" w:cs="宋体"/>
                <w:sz w:val="21"/>
                <w:szCs w:val="21"/>
                <w:highlight w:val="none"/>
              </w:rPr>
            </w:pPr>
          </w:p>
        </w:tc>
        <w:tc>
          <w:tcPr>
            <w:tcW w:w="1405" w:type="dxa"/>
            <w:tcBorders>
              <w:top w:val="single" w:color="auto" w:sz="4" w:space="0"/>
            </w:tcBorders>
            <w:noWrap w:val="0"/>
            <w:vAlign w:val="top"/>
          </w:tcPr>
          <w:p>
            <w:pPr>
              <w:pStyle w:val="15"/>
              <w:spacing w:before="1"/>
              <w:ind w:right="-142"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设计的重点、难</w:t>
            </w:r>
            <w:r>
              <w:rPr>
                <w:sz w:val="21"/>
                <w:highlight w:val="none"/>
              </w:rPr>
              <w:t>点分析及措施</w:t>
            </w:r>
          </w:p>
        </w:tc>
        <w:tc>
          <w:tcPr>
            <w:tcW w:w="563" w:type="dxa"/>
            <w:noWrap w:val="0"/>
            <w:vAlign w:val="top"/>
          </w:tcPr>
          <w:p>
            <w:pPr>
              <w:pStyle w:val="15"/>
              <w:spacing w:before="8"/>
              <w:jc w:val="center"/>
              <w:rPr>
                <w:rFonts w:hint="eastAsia" w:ascii="宋体" w:hAnsi="宋体" w:eastAsia="宋体" w:cs="宋体"/>
                <w:sz w:val="21"/>
                <w:szCs w:val="21"/>
                <w:highlight w:val="none"/>
              </w:rPr>
            </w:pPr>
          </w:p>
          <w:p>
            <w:pPr>
              <w:pStyle w:val="15"/>
              <w:spacing w:before="1"/>
              <w:ind w:right="31"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 分</w:t>
            </w:r>
          </w:p>
        </w:tc>
        <w:tc>
          <w:tcPr>
            <w:tcW w:w="5578" w:type="dxa"/>
            <w:noWrap w:val="0"/>
            <w:vAlign w:val="top"/>
          </w:tcPr>
          <w:p>
            <w:pPr>
              <w:pStyle w:val="15"/>
              <w:spacing w:before="29"/>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分析准确、详细，措施具体、合理 4.0（不含）-5.0分；</w:t>
            </w:r>
          </w:p>
          <w:p>
            <w:pPr>
              <w:pStyle w:val="15"/>
              <w:spacing w:before="31" w:line="252"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分析合理、实施性强，得 3.0（不含）-4.0（含）分；</w:t>
            </w:r>
          </w:p>
          <w:p>
            <w:pPr>
              <w:pStyle w:val="15"/>
              <w:spacing w:before="31" w:line="252"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基本合理、实施性一般，得 3.0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41" w:type="dxa"/>
            <w:noWrap w:val="0"/>
            <w:vAlign w:val="top"/>
          </w:tcPr>
          <w:p>
            <w:pPr>
              <w:pStyle w:val="15"/>
              <w:spacing w:before="42"/>
              <w:rPr>
                <w:rFonts w:hint="eastAsia" w:ascii="宋体" w:hAnsi="宋体" w:eastAsia="宋体" w:cs="宋体"/>
                <w:sz w:val="21"/>
                <w:szCs w:val="21"/>
                <w:highlight w:val="none"/>
              </w:rPr>
            </w:pPr>
          </w:p>
          <w:p>
            <w:pPr>
              <w:pStyle w:val="15"/>
              <w:spacing w:before="42"/>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15"/>
              <w:spacing w:before="51" w:line="241"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 </w:t>
            </w:r>
          </w:p>
        </w:tc>
        <w:tc>
          <w:tcPr>
            <w:tcW w:w="741" w:type="dxa"/>
            <w:noWrap w:val="0"/>
            <w:vAlign w:val="top"/>
          </w:tcPr>
          <w:p>
            <w:pPr>
              <w:pStyle w:val="15"/>
              <w:spacing w:before="42"/>
              <w:ind w:right="-315" w:rightChars="-150"/>
              <w:jc w:val="left"/>
              <w:rPr>
                <w:rFonts w:hint="eastAsia" w:ascii="宋体" w:hAnsi="宋体" w:eastAsia="宋体" w:cs="宋体"/>
                <w:sz w:val="21"/>
                <w:szCs w:val="21"/>
                <w:highlight w:val="none"/>
              </w:rPr>
            </w:pPr>
          </w:p>
          <w:p>
            <w:pPr>
              <w:pStyle w:val="15"/>
              <w:spacing w:before="42"/>
              <w:ind w:right="-315" w:right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资信业</w:t>
            </w:r>
          </w:p>
          <w:p>
            <w:pPr>
              <w:pStyle w:val="15"/>
              <w:spacing w:before="51" w:line="241" w:lineRule="exact"/>
              <w:ind w:right="-315" w:rightChars="-150"/>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绩部分</w:t>
            </w:r>
            <w:r>
              <w:rPr>
                <w:rFonts w:hint="eastAsia" w:ascii="宋体" w:hAnsi="宋体" w:eastAsia="宋体" w:cs="宋体"/>
                <w:sz w:val="21"/>
                <w:szCs w:val="21"/>
                <w:highlight w:val="none"/>
              </w:rPr>
              <w:t xml:space="preserve"> </w:t>
            </w:r>
          </w:p>
        </w:tc>
        <w:tc>
          <w:tcPr>
            <w:tcW w:w="624" w:type="dxa"/>
            <w:noWrap w:val="0"/>
            <w:vAlign w:val="top"/>
          </w:tcPr>
          <w:p>
            <w:pPr>
              <w:pStyle w:val="15"/>
              <w:spacing w:before="5"/>
              <w:rPr>
                <w:rFonts w:hint="eastAsia" w:ascii="宋体" w:hAnsi="宋体" w:eastAsia="宋体" w:cs="宋体"/>
                <w:sz w:val="21"/>
                <w:szCs w:val="21"/>
                <w:highlight w:val="none"/>
              </w:rPr>
            </w:pPr>
          </w:p>
          <w:p>
            <w:pPr>
              <w:pStyle w:val="15"/>
              <w:spacing w:before="1"/>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分 </w:t>
            </w:r>
          </w:p>
        </w:tc>
        <w:tc>
          <w:tcPr>
            <w:tcW w:w="1405" w:type="dxa"/>
            <w:tcBorders>
              <w:top w:val="single" w:color="auto" w:sz="4" w:space="0"/>
            </w:tcBorders>
            <w:noWrap w:val="0"/>
            <w:vAlign w:val="top"/>
          </w:tcPr>
          <w:p>
            <w:pPr>
              <w:pStyle w:val="15"/>
              <w:spacing w:before="10"/>
              <w:rPr>
                <w:rFonts w:hint="eastAsia" w:ascii="宋体" w:hAnsi="宋体" w:eastAsia="宋体" w:cs="宋体"/>
                <w:sz w:val="21"/>
                <w:szCs w:val="21"/>
                <w:highlight w:val="none"/>
              </w:rPr>
            </w:pPr>
          </w:p>
          <w:p>
            <w:pPr>
              <w:pStyle w:val="15"/>
              <w:ind w:right="-142" w:rightChars="0"/>
              <w:jc w:val="both"/>
              <w:rPr>
                <w:rFonts w:hint="eastAsia" w:ascii="宋体" w:hAnsi="宋体" w:eastAsia="宋体" w:cs="宋体"/>
                <w:sz w:val="21"/>
                <w:szCs w:val="21"/>
                <w:highlight w:val="none"/>
              </w:rPr>
            </w:pPr>
          </w:p>
          <w:p>
            <w:pPr>
              <w:pStyle w:val="15"/>
              <w:ind w:right="-142" w:righ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投标人业绩</w:t>
            </w:r>
          </w:p>
        </w:tc>
        <w:tc>
          <w:tcPr>
            <w:tcW w:w="563" w:type="dxa"/>
            <w:noWrap w:val="0"/>
            <w:vAlign w:val="top"/>
          </w:tcPr>
          <w:p>
            <w:pPr>
              <w:pStyle w:val="15"/>
              <w:spacing w:before="179"/>
              <w:ind w:right="-15" w:rightChars="0"/>
              <w:jc w:val="center"/>
              <w:rPr>
                <w:rFonts w:hint="eastAsia" w:ascii="宋体" w:hAnsi="宋体" w:eastAsia="宋体" w:cs="宋体"/>
                <w:sz w:val="21"/>
                <w:szCs w:val="21"/>
                <w:highlight w:val="none"/>
                <w:lang w:val="en-US" w:eastAsia="zh-CN"/>
              </w:rPr>
            </w:pPr>
          </w:p>
          <w:p>
            <w:pPr>
              <w:pStyle w:val="15"/>
              <w:spacing w:before="179"/>
              <w:ind w:right="-15"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分 </w:t>
            </w:r>
          </w:p>
        </w:tc>
        <w:tc>
          <w:tcPr>
            <w:tcW w:w="5578" w:type="dxa"/>
            <w:noWrap w:val="0"/>
            <w:vAlign w:val="top"/>
          </w:tcPr>
          <w:p>
            <w:pPr>
              <w:pStyle w:val="15"/>
              <w:spacing w:before="31" w:line="252" w:lineRule="exact"/>
              <w:jc w:val="left"/>
              <w:rPr>
                <w:rFonts w:hint="eastAsia" w:ascii="宋体" w:hAnsi="宋体" w:eastAsia="宋体" w:cs="宋体"/>
                <w:sz w:val="21"/>
                <w:highlight w:val="none"/>
              </w:rPr>
            </w:pPr>
            <w:r>
              <w:rPr>
                <w:rFonts w:hint="eastAsia" w:ascii="宋体" w:hAnsi="宋体" w:eastAsia="宋体" w:cs="宋体"/>
                <w:sz w:val="21"/>
                <w:highlight w:val="none"/>
                <w:lang w:val="en-US" w:eastAsia="zh-CN"/>
              </w:rPr>
              <w:t>1、</w:t>
            </w:r>
            <w:r>
              <w:rPr>
                <w:rFonts w:hint="eastAsia" w:ascii="宋体" w:hAnsi="宋体" w:eastAsia="宋体" w:cs="宋体"/>
                <w:sz w:val="21"/>
                <w:highlight w:val="none"/>
              </w:rPr>
              <w:t>满足</w:t>
            </w:r>
            <w:r>
              <w:rPr>
                <w:rFonts w:hint="eastAsia" w:ascii="宋体" w:hAnsi="宋体" w:eastAsia="宋体" w:cs="宋体"/>
                <w:sz w:val="21"/>
                <w:highlight w:val="none"/>
                <w:lang w:val="en-US" w:eastAsia="zh-CN"/>
              </w:rPr>
              <w:t>投标人须知前附表</w:t>
            </w:r>
            <w:r>
              <w:rPr>
                <w:rFonts w:hint="eastAsia" w:ascii="宋体" w:hAnsi="宋体" w:eastAsia="宋体" w:cs="宋体"/>
                <w:sz w:val="21"/>
                <w:highlight w:val="none"/>
              </w:rPr>
              <w:t>附录2 资格审查条件(业绩最低要求)得</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pPr>
              <w:pStyle w:val="15"/>
              <w:spacing w:before="31" w:line="252" w:lineRule="exact"/>
              <w:jc w:val="left"/>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r>
              <w:rPr>
                <w:rFonts w:hint="eastAsia" w:ascii="宋体" w:hAnsi="宋体" w:eastAsia="宋体" w:cs="宋体"/>
                <w:b w:val="0"/>
                <w:bCs w:val="0"/>
                <w:sz w:val="21"/>
                <w:szCs w:val="21"/>
                <w:highlight w:val="none"/>
                <w:lang w:val="en-US" w:eastAsia="zh-CN"/>
              </w:rPr>
              <w:t>近5年(2017年10月1日至今，以合同签订时间为准)每增加1项光伏车棚设计业绩和1项设计容量在1MW以上的分布式光伏设计业绩</w:t>
            </w:r>
            <w:r>
              <w:rPr>
                <w:rFonts w:hint="eastAsia" w:ascii="宋体" w:hAnsi="宋体" w:eastAsia="宋体" w:cs="宋体"/>
                <w:sz w:val="21"/>
                <w:highlight w:val="none"/>
                <w:lang w:val="en-US" w:eastAsia="zh-CN"/>
              </w:rPr>
              <w:t>加1分，最多加1分；</w:t>
            </w:r>
          </w:p>
          <w:p>
            <w:pPr>
              <w:pStyle w:val="15"/>
              <w:spacing w:before="31" w:line="252" w:lineRule="exact"/>
              <w:jc w:val="lef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3、每增加一个满足投标人须知前附表</w:t>
            </w:r>
            <w:r>
              <w:rPr>
                <w:rFonts w:hint="eastAsia" w:ascii="宋体" w:hAnsi="宋体" w:eastAsia="宋体" w:cs="宋体"/>
                <w:sz w:val="21"/>
                <w:highlight w:val="none"/>
              </w:rPr>
              <w:t>附录2 资格审查条件(业绩最低要求)</w:t>
            </w:r>
            <w:r>
              <w:rPr>
                <w:rFonts w:hint="eastAsia" w:ascii="宋体" w:hAnsi="宋体" w:eastAsia="宋体" w:cs="宋体"/>
                <w:sz w:val="21"/>
                <w:highlight w:val="none"/>
                <w:lang w:val="en-US" w:eastAsia="zh-CN"/>
              </w:rPr>
              <w:t>的施工业绩加1分，最多加1分。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41" w:type="dxa"/>
            <w:vMerge w:val="restart"/>
            <w:tcBorders>
              <w:top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rPr>
              <w:t>2.2.4（</w:t>
            </w:r>
            <w:r>
              <w:rPr>
                <w:rFonts w:hint="eastAsia" w:hAnsi="宋体"/>
                <w:highlight w:val="none"/>
                <w:lang w:val="en-US" w:eastAsia="zh-CN"/>
              </w:rPr>
              <w:t>3</w:t>
            </w:r>
            <w:r>
              <w:rPr>
                <w:rFonts w:hint="eastAsia" w:hAnsi="宋体"/>
                <w:highlight w:val="none"/>
              </w:rPr>
              <w:t>）</w:t>
            </w:r>
          </w:p>
        </w:tc>
        <w:tc>
          <w:tcPr>
            <w:tcW w:w="741" w:type="dxa"/>
            <w:vMerge w:val="restart"/>
            <w:tcBorders>
              <w:top w:val="single" w:color="auto" w:sz="4" w:space="0"/>
            </w:tcBorders>
            <w:noWrap w:val="0"/>
            <w:vAlign w:val="center"/>
          </w:tcPr>
          <w:p>
            <w:pPr>
              <w:pStyle w:val="5"/>
              <w:snapToGrid w:val="0"/>
              <w:spacing w:line="320" w:lineRule="exact"/>
              <w:jc w:val="center"/>
              <w:rPr>
                <w:rFonts w:hAnsi="宋体"/>
                <w:highlight w:val="none"/>
              </w:rPr>
            </w:pPr>
            <w:r>
              <w:rPr>
                <w:rFonts w:hint="eastAsia" w:hAnsi="宋体" w:cs="宋体"/>
                <w:highlight w:val="none"/>
                <w:lang w:val="en-US" w:eastAsia="zh-CN"/>
              </w:rPr>
              <w:t>承包人</w:t>
            </w:r>
            <w:r>
              <w:rPr>
                <w:rFonts w:hint="eastAsia" w:hAnsi="宋体" w:cs="宋体"/>
                <w:highlight w:val="none"/>
              </w:rPr>
              <w:t>实施方案</w:t>
            </w:r>
          </w:p>
        </w:tc>
        <w:tc>
          <w:tcPr>
            <w:tcW w:w="624" w:type="dxa"/>
            <w:vMerge w:val="restart"/>
            <w:tcBorders>
              <w:top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lang w:val="en-US" w:eastAsia="zh-CN"/>
              </w:rPr>
              <w:t>3</w:t>
            </w:r>
            <w:r>
              <w:rPr>
                <w:rFonts w:hint="eastAsia" w:hAnsi="宋体"/>
                <w:highlight w:val="none"/>
              </w:rPr>
              <w:t>0分</w:t>
            </w:r>
          </w:p>
        </w:tc>
        <w:tc>
          <w:tcPr>
            <w:tcW w:w="1405" w:type="dxa"/>
            <w:tcBorders>
              <w:top w:val="single" w:color="auto" w:sz="4" w:space="0"/>
            </w:tcBorders>
            <w:noWrap w:val="0"/>
            <w:vAlign w:val="center"/>
          </w:tcPr>
          <w:p>
            <w:pPr>
              <w:widowControl/>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总体实施方案</w:t>
            </w:r>
          </w:p>
        </w:tc>
        <w:tc>
          <w:tcPr>
            <w:tcW w:w="563" w:type="dxa"/>
            <w:noWrap w:val="0"/>
            <w:vAlign w:val="center"/>
          </w:tcPr>
          <w:p>
            <w:pPr>
              <w:pStyle w:val="5"/>
              <w:snapToGrid w:val="0"/>
              <w:spacing w:line="320" w:lineRule="exact"/>
              <w:ind w:left="33" w:leftChars="-48" w:right="-31" w:rightChars="-15" w:hanging="134" w:hangingChars="64"/>
              <w:jc w:val="center"/>
              <w:rPr>
                <w:rFonts w:hint="eastAsia" w:hAnsi="宋体" w:cs="宋体"/>
                <w:highlight w:val="none"/>
              </w:rPr>
            </w:pPr>
            <w:r>
              <w:rPr>
                <w:rFonts w:hint="eastAsia" w:hAnsi="宋体" w:cs="宋体"/>
                <w:highlight w:val="none"/>
                <w:lang w:val="en-US" w:eastAsia="zh-CN"/>
              </w:rPr>
              <w:t>5</w:t>
            </w:r>
            <w:r>
              <w:rPr>
                <w:rFonts w:hint="eastAsia" w:hAnsi="宋体" w:cs="宋体"/>
                <w:highlight w:val="none"/>
              </w:rPr>
              <w:t>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内容完整，编制科学合理，指导性强，得</w:t>
            </w:r>
            <w:r>
              <w:rPr>
                <w:rFonts w:hint="eastAsia" w:ascii="宋体" w:hAnsi="宋体" w:eastAsia="宋体" w:cs="宋体"/>
                <w:highlight w:val="none"/>
                <w:lang w:val="en-US" w:eastAsia="zh-CN"/>
              </w:rPr>
              <w:t>4</w:t>
            </w:r>
            <w:r>
              <w:rPr>
                <w:rFonts w:hint="eastAsia" w:ascii="宋体" w:hAnsi="宋体" w:eastAsia="宋体" w:cs="宋体"/>
                <w:highlight w:val="none"/>
              </w:rPr>
              <w:t>.0（不含）-</w:t>
            </w:r>
            <w:r>
              <w:rPr>
                <w:rFonts w:hint="eastAsia" w:ascii="宋体" w:hAnsi="宋体" w:eastAsia="宋体" w:cs="宋体"/>
                <w:highlight w:val="none"/>
                <w:lang w:val="en-US" w:eastAsia="zh-CN"/>
              </w:rPr>
              <w:t>5</w:t>
            </w:r>
            <w:r>
              <w:rPr>
                <w:rFonts w:hint="eastAsia" w:ascii="宋体" w:hAnsi="宋体" w:eastAsia="宋体" w:cs="宋体"/>
                <w:highlight w:val="none"/>
              </w:rPr>
              <w:t xml:space="preserve">.0 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内容较完整，编制合理，指导性较强，得 </w:t>
            </w:r>
            <w:r>
              <w:rPr>
                <w:rFonts w:hint="eastAsia" w:ascii="宋体" w:hAnsi="宋体" w:eastAsia="宋体" w:cs="宋体"/>
                <w:highlight w:val="none"/>
                <w:lang w:val="en-US" w:eastAsia="zh-CN"/>
              </w:rPr>
              <w:t>3</w:t>
            </w:r>
            <w:r>
              <w:rPr>
                <w:rFonts w:hint="eastAsia" w:ascii="宋体" w:hAnsi="宋体" w:eastAsia="宋体" w:cs="宋体"/>
                <w:highlight w:val="none"/>
              </w:rPr>
              <w:t>.0（不含）-</w:t>
            </w:r>
            <w:r>
              <w:rPr>
                <w:rFonts w:hint="eastAsia" w:ascii="宋体" w:hAnsi="宋体" w:eastAsia="宋体" w:cs="宋体"/>
                <w:highlight w:val="none"/>
                <w:lang w:val="en-US" w:eastAsia="zh-CN"/>
              </w:rPr>
              <w:t>4</w:t>
            </w:r>
            <w:r>
              <w:rPr>
                <w:rFonts w:hint="eastAsia" w:ascii="宋体" w:hAnsi="宋体" w:eastAsia="宋体" w:cs="宋体"/>
                <w:highlight w:val="none"/>
              </w:rPr>
              <w:t xml:space="preserve">.0（含）分；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szCs w:val="21"/>
                <w:highlight w:val="none"/>
              </w:rPr>
            </w:pPr>
            <w:r>
              <w:rPr>
                <w:rFonts w:hint="eastAsia" w:ascii="宋体" w:hAnsi="宋体" w:eastAsia="宋体" w:cs="宋体"/>
                <w:highlight w:val="none"/>
              </w:rPr>
              <w:t xml:space="preserve">内容基本完整，编制较合理，指导性一般，得 </w:t>
            </w:r>
            <w:r>
              <w:rPr>
                <w:rFonts w:hint="eastAsia" w:ascii="宋体" w:hAnsi="宋体" w:eastAsia="宋体" w:cs="宋体"/>
                <w:highlight w:val="none"/>
                <w:lang w:val="en-US" w:eastAsia="zh-CN"/>
              </w:rPr>
              <w:t>3</w:t>
            </w:r>
            <w:r>
              <w:rPr>
                <w:rFonts w:hint="eastAsia" w:ascii="宋体" w:hAnsi="宋体" w:eastAsia="宋体" w:cs="宋体"/>
                <w:highlight w:val="none"/>
              </w:rPr>
              <w:t xml:space="preserve">.0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624" w:type="dxa"/>
            <w:vMerge w:val="continue"/>
            <w:tcBorders>
              <w:top w:val="single" w:color="auto" w:sz="4" w:space="0"/>
            </w:tcBorders>
            <w:noWrap w:val="0"/>
            <w:vAlign w:val="center"/>
          </w:tcPr>
          <w:p>
            <w:pPr>
              <w:pStyle w:val="5"/>
              <w:snapToGrid w:val="0"/>
              <w:spacing w:line="320" w:lineRule="exact"/>
              <w:jc w:val="center"/>
              <w:rPr>
                <w:rFonts w:hAnsi="宋体"/>
                <w:highlight w:val="none"/>
              </w:rPr>
            </w:pPr>
          </w:p>
        </w:tc>
        <w:tc>
          <w:tcPr>
            <w:tcW w:w="1405" w:type="dxa"/>
            <w:tcBorders>
              <w:top w:val="single" w:color="auto" w:sz="4" w:space="0"/>
            </w:tcBorders>
            <w:noWrap w:val="0"/>
            <w:vAlign w:val="center"/>
          </w:tcPr>
          <w:p>
            <w:pPr>
              <w:snapToGrid w:val="0"/>
              <w:spacing w:line="320" w:lineRule="exact"/>
              <w:ind w:right="-141" w:rightChars="-67"/>
              <w:jc w:val="center"/>
              <w:rPr>
                <w:rFonts w:hint="eastAsia" w:ascii="宋体" w:hAnsi="宋体"/>
                <w:szCs w:val="21"/>
                <w:highlight w:val="none"/>
              </w:rPr>
            </w:pPr>
            <w:r>
              <w:rPr>
                <w:rFonts w:hint="eastAsia" w:ascii="宋体" w:hAnsi="宋体"/>
                <w:szCs w:val="21"/>
                <w:highlight w:val="none"/>
              </w:rPr>
              <w:t>施工的重点难点分析</w:t>
            </w:r>
          </w:p>
        </w:tc>
        <w:tc>
          <w:tcPr>
            <w:tcW w:w="563" w:type="dxa"/>
            <w:noWrap w:val="0"/>
            <w:vAlign w:val="center"/>
          </w:tcPr>
          <w:p>
            <w:pPr>
              <w:widowControl/>
              <w:snapToGrid w:val="0"/>
              <w:spacing w:line="320" w:lineRule="exact"/>
              <w:jc w:val="center"/>
              <w:textAlignment w:val="top"/>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分析准确、详细，措施具体、合理 4.0（不含）-5.0分；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分析合理、实施性强，得 3.0（不含）-4.0（含）分；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基本合理、实施性一般，得 3.0 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624" w:type="dxa"/>
            <w:vMerge w:val="continue"/>
            <w:tcBorders>
              <w:top w:val="single" w:color="auto" w:sz="4" w:space="0"/>
            </w:tcBorders>
            <w:noWrap w:val="0"/>
            <w:vAlign w:val="center"/>
          </w:tcPr>
          <w:p>
            <w:pPr>
              <w:pStyle w:val="5"/>
              <w:snapToGrid w:val="0"/>
              <w:spacing w:line="320" w:lineRule="exact"/>
              <w:jc w:val="center"/>
              <w:rPr>
                <w:rFonts w:hAnsi="宋体"/>
                <w:highlight w:val="none"/>
              </w:rPr>
            </w:pPr>
          </w:p>
        </w:tc>
        <w:tc>
          <w:tcPr>
            <w:tcW w:w="1405" w:type="dxa"/>
            <w:tcBorders>
              <w:top w:val="single" w:color="auto" w:sz="4" w:space="0"/>
            </w:tcBorders>
            <w:noWrap w:val="0"/>
            <w:vAlign w:val="center"/>
          </w:tcPr>
          <w:p>
            <w:pPr>
              <w:snapToGrid w:val="0"/>
              <w:spacing w:line="320" w:lineRule="exact"/>
              <w:jc w:val="center"/>
              <w:rPr>
                <w:sz w:val="21"/>
                <w:highlight w:val="none"/>
              </w:rPr>
            </w:pPr>
            <w:r>
              <w:rPr>
                <w:sz w:val="21"/>
                <w:highlight w:val="none"/>
              </w:rPr>
              <w:t xml:space="preserve">工期保证体系及保证措施 </w:t>
            </w:r>
          </w:p>
        </w:tc>
        <w:tc>
          <w:tcPr>
            <w:tcW w:w="563" w:type="dxa"/>
            <w:noWrap w:val="0"/>
            <w:vAlign w:val="center"/>
          </w:tcPr>
          <w:p>
            <w:pPr>
              <w:widowControl/>
              <w:snapToGrid w:val="0"/>
              <w:spacing w:line="320" w:lineRule="exact"/>
              <w:jc w:val="center"/>
              <w:textAlignment w:val="top"/>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措施完善，科学合理，实施性强，得 4.0（不含）-5.0分；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措施较完善，较合理，实施性较强，得 3.0（不含）-4.0（含）分；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措施基本完善，基本合理，实施性一般，得 3.0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624" w:type="dxa"/>
            <w:vMerge w:val="continue"/>
            <w:tcBorders>
              <w:top w:val="single" w:color="auto" w:sz="4" w:space="0"/>
            </w:tcBorders>
            <w:noWrap w:val="0"/>
            <w:vAlign w:val="center"/>
          </w:tcPr>
          <w:p>
            <w:pPr>
              <w:pStyle w:val="5"/>
              <w:snapToGrid w:val="0"/>
              <w:spacing w:line="320" w:lineRule="exact"/>
              <w:jc w:val="center"/>
              <w:rPr>
                <w:rFonts w:hAnsi="宋体"/>
                <w:highlight w:val="none"/>
              </w:rPr>
            </w:pPr>
          </w:p>
        </w:tc>
        <w:tc>
          <w:tcPr>
            <w:tcW w:w="1405" w:type="dxa"/>
            <w:tcBorders>
              <w:top w:val="single" w:color="auto" w:sz="4" w:space="0"/>
            </w:tcBorders>
            <w:noWrap w:val="0"/>
            <w:vAlign w:val="center"/>
          </w:tcPr>
          <w:p>
            <w:pPr>
              <w:snapToGrid w:val="0"/>
              <w:spacing w:line="320" w:lineRule="exact"/>
              <w:jc w:val="center"/>
              <w:rPr>
                <w:sz w:val="21"/>
                <w:highlight w:val="none"/>
              </w:rPr>
            </w:pPr>
            <w:r>
              <w:rPr>
                <w:sz w:val="21"/>
                <w:highlight w:val="none"/>
              </w:rPr>
              <w:t>工程质量管理体系及保证措施</w:t>
            </w:r>
          </w:p>
        </w:tc>
        <w:tc>
          <w:tcPr>
            <w:tcW w:w="563" w:type="dxa"/>
            <w:noWrap w:val="0"/>
            <w:vAlign w:val="center"/>
          </w:tcPr>
          <w:p>
            <w:pPr>
              <w:widowControl/>
              <w:snapToGrid w:val="0"/>
              <w:spacing w:line="320" w:lineRule="exact"/>
              <w:jc w:val="center"/>
              <w:textAlignment w:val="top"/>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措施完善，科学合理，实施性强，得 4.0（不含）-5.0</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措施较完善，较合理，实施性较强，得 3.0（不含）-4.0（含）分；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措施基本完善，基本合理，实施性一般，得 3.0 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624" w:type="dxa"/>
            <w:vMerge w:val="continue"/>
            <w:tcBorders>
              <w:top w:val="single" w:color="auto" w:sz="4" w:space="0"/>
            </w:tcBorders>
            <w:noWrap w:val="0"/>
            <w:vAlign w:val="center"/>
          </w:tcPr>
          <w:p>
            <w:pPr>
              <w:pStyle w:val="5"/>
              <w:snapToGrid w:val="0"/>
              <w:spacing w:line="320" w:lineRule="exact"/>
              <w:jc w:val="center"/>
              <w:rPr>
                <w:rFonts w:hAnsi="宋体"/>
                <w:highlight w:val="none"/>
              </w:rPr>
            </w:pPr>
          </w:p>
        </w:tc>
        <w:tc>
          <w:tcPr>
            <w:tcW w:w="1405" w:type="dxa"/>
            <w:tcBorders>
              <w:top w:val="single" w:color="auto" w:sz="4" w:space="0"/>
            </w:tcBorders>
            <w:noWrap w:val="0"/>
            <w:vAlign w:val="center"/>
          </w:tcPr>
          <w:p>
            <w:pPr>
              <w:snapToGrid w:val="0"/>
              <w:spacing w:line="320" w:lineRule="exact"/>
              <w:jc w:val="center"/>
              <w:rPr>
                <w:rFonts w:hint="eastAsia" w:ascii="宋体" w:hAnsi="宋体"/>
                <w:szCs w:val="21"/>
                <w:highlight w:val="none"/>
              </w:rPr>
            </w:pPr>
            <w:r>
              <w:rPr>
                <w:sz w:val="21"/>
                <w:highlight w:val="none"/>
              </w:rPr>
              <w:t xml:space="preserve">安全生产、文明施工管理体系及保证措施 </w:t>
            </w:r>
          </w:p>
        </w:tc>
        <w:tc>
          <w:tcPr>
            <w:tcW w:w="563" w:type="dxa"/>
            <w:noWrap w:val="0"/>
            <w:vAlign w:val="center"/>
          </w:tcPr>
          <w:p>
            <w:pPr>
              <w:widowControl/>
              <w:snapToGrid w:val="0"/>
              <w:spacing w:line="320" w:lineRule="exact"/>
              <w:jc w:val="center"/>
              <w:textAlignment w:val="top"/>
              <w:rPr>
                <w:rFonts w:hint="eastAsia" w:ascii="宋体" w:hAnsi="宋体" w:cs="宋体"/>
                <w:kern w:val="0"/>
                <w:szCs w:val="21"/>
                <w:highlight w:val="none"/>
              </w:rPr>
            </w:pPr>
            <w:r>
              <w:rPr>
                <w:rFonts w:hint="eastAsia" w:ascii="宋体" w:hAnsi="宋体" w:cs="宋体"/>
                <w:kern w:val="0"/>
                <w:szCs w:val="21"/>
                <w:highlight w:val="none"/>
                <w:lang w:val="en-US" w:eastAsia="zh-CN"/>
              </w:rPr>
              <w:t>5分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措施完善，科学合理，实施性强，得 </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（不含）-</w:t>
            </w:r>
            <w:r>
              <w:rPr>
                <w:rFonts w:hint="eastAsia" w:ascii="宋体" w:hAnsi="宋体" w:eastAsia="宋体" w:cs="宋体"/>
                <w:highlight w:val="none"/>
                <w:lang w:val="en-US" w:eastAsia="zh-CN"/>
              </w:rPr>
              <w:t>5</w:t>
            </w:r>
            <w:r>
              <w:rPr>
                <w:rFonts w:hint="eastAsia" w:ascii="宋体" w:hAnsi="宋体" w:eastAsia="宋体" w:cs="宋体"/>
                <w:highlight w:val="none"/>
              </w:rPr>
              <w:t xml:space="preserve">.0分；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措施较完善，较合理，实施性较强，得 </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（不含）-</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 xml:space="preserve">（含）分；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措施基本完善，基本合理，实施性一般，得</w:t>
            </w:r>
            <w:r>
              <w:rPr>
                <w:rFonts w:hint="eastAsia" w:ascii="宋体" w:hAnsi="宋体" w:eastAsia="宋体" w:cs="宋体"/>
                <w:highlight w:val="none"/>
                <w:lang w:val="en-US" w:eastAsia="zh-CN"/>
              </w:rPr>
              <w:t>3.0</w:t>
            </w:r>
            <w:r>
              <w:rPr>
                <w:rFonts w:hint="eastAsia" w:ascii="宋体" w:hAnsi="宋体" w:eastAsia="宋体" w:cs="宋体"/>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741" w:type="dxa"/>
            <w:vMerge w:val="continue"/>
            <w:tcBorders>
              <w:top w:val="single" w:color="auto" w:sz="4" w:space="0"/>
            </w:tcBorders>
            <w:noWrap w:val="0"/>
            <w:vAlign w:val="center"/>
          </w:tcPr>
          <w:p>
            <w:pPr>
              <w:pStyle w:val="5"/>
              <w:snapToGrid w:val="0"/>
              <w:spacing w:line="320" w:lineRule="exact"/>
              <w:jc w:val="center"/>
              <w:rPr>
                <w:rFonts w:hint="eastAsia" w:hAnsi="宋体"/>
                <w:highlight w:val="none"/>
              </w:rPr>
            </w:pPr>
          </w:p>
        </w:tc>
        <w:tc>
          <w:tcPr>
            <w:tcW w:w="624" w:type="dxa"/>
            <w:vMerge w:val="continue"/>
            <w:tcBorders>
              <w:top w:val="single" w:color="auto" w:sz="4" w:space="0"/>
            </w:tcBorders>
            <w:noWrap w:val="0"/>
            <w:vAlign w:val="center"/>
          </w:tcPr>
          <w:p>
            <w:pPr>
              <w:pStyle w:val="5"/>
              <w:snapToGrid w:val="0"/>
              <w:spacing w:line="320" w:lineRule="exact"/>
              <w:jc w:val="center"/>
              <w:rPr>
                <w:rFonts w:hAnsi="宋体"/>
                <w:highlight w:val="none"/>
              </w:rPr>
            </w:pPr>
          </w:p>
        </w:tc>
        <w:tc>
          <w:tcPr>
            <w:tcW w:w="1405" w:type="dxa"/>
            <w:tcBorders>
              <w:top w:val="single" w:color="auto" w:sz="4" w:space="0"/>
            </w:tcBorders>
            <w:noWrap w:val="0"/>
            <w:vAlign w:val="center"/>
          </w:tcPr>
          <w:p>
            <w:pPr>
              <w:snapToGrid w:val="0"/>
              <w:spacing w:line="320" w:lineRule="exact"/>
              <w:jc w:val="center"/>
              <w:rPr>
                <w:sz w:val="21"/>
                <w:highlight w:val="none"/>
              </w:rPr>
            </w:pPr>
            <w:r>
              <w:rPr>
                <w:sz w:val="21"/>
                <w:highlight w:val="none"/>
              </w:rPr>
              <w:t xml:space="preserve">项目风险预测与防范，事故应急预案 </w:t>
            </w:r>
          </w:p>
        </w:tc>
        <w:tc>
          <w:tcPr>
            <w:tcW w:w="563" w:type="dxa"/>
            <w:noWrap w:val="0"/>
            <w:vAlign w:val="center"/>
          </w:tcPr>
          <w:p>
            <w:pPr>
              <w:widowControl/>
              <w:snapToGrid w:val="0"/>
              <w:spacing w:line="320" w:lineRule="exact"/>
              <w:jc w:val="center"/>
              <w:textAlignment w:val="top"/>
              <w:rPr>
                <w:rFonts w:hint="eastAsia" w:ascii="宋体" w:hAnsi="宋体" w:cs="宋体"/>
                <w:kern w:val="0"/>
                <w:szCs w:val="21"/>
                <w:highlight w:val="none"/>
              </w:rPr>
            </w:pPr>
            <w:r>
              <w:rPr>
                <w:rFonts w:hint="eastAsia" w:ascii="宋体" w:hAnsi="宋体" w:cs="宋体"/>
                <w:kern w:val="0"/>
                <w:szCs w:val="21"/>
                <w:highlight w:val="none"/>
                <w:lang w:val="en-US" w:eastAsia="zh-CN"/>
              </w:rPr>
              <w:t>5分</w:t>
            </w:r>
          </w:p>
        </w:tc>
        <w:tc>
          <w:tcPr>
            <w:tcW w:w="557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内容完整，编制科学合理，指导性强，得 </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（不含）</w:t>
            </w:r>
            <w:r>
              <w:rPr>
                <w:rFonts w:hint="eastAsia" w:ascii="宋体" w:hAnsi="宋体" w:eastAsia="宋体" w:cs="宋体"/>
                <w:highlight w:val="none"/>
                <w:lang w:val="en-US" w:eastAsia="zh-CN"/>
              </w:rPr>
              <w:t>5</w:t>
            </w:r>
            <w:r>
              <w:rPr>
                <w:rFonts w:hint="eastAsia" w:ascii="宋体" w:hAnsi="宋体" w:eastAsia="宋体" w:cs="宋体"/>
                <w:highlight w:val="none"/>
              </w:rPr>
              <w:t xml:space="preserve">.0 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内容较完整，编制合理，指导性较强，得 </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（不含）-</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0</w:t>
            </w:r>
            <w:r>
              <w:rPr>
                <w:rFonts w:hint="eastAsia" w:ascii="宋体" w:hAnsi="宋体" w:eastAsia="宋体" w:cs="宋体"/>
                <w:highlight w:val="none"/>
              </w:rPr>
              <w:t xml:space="preserve">（含）分； </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highlight w:val="none"/>
              </w:rPr>
            </w:pPr>
            <w:r>
              <w:rPr>
                <w:rFonts w:hint="eastAsia" w:ascii="宋体" w:hAnsi="宋体" w:eastAsia="宋体" w:cs="宋体"/>
                <w:spacing w:val="-17"/>
                <w:sz w:val="21"/>
                <w:highlight w:val="none"/>
              </w:rPr>
              <w:t>内容基本完整，编制较合理，指导性一般，</w:t>
            </w:r>
            <w:r>
              <w:rPr>
                <w:rFonts w:hint="eastAsia" w:ascii="宋体" w:hAnsi="宋体" w:eastAsia="宋体" w:cs="Times New Roman"/>
                <w:szCs w:val="21"/>
                <w:highlight w:val="none"/>
              </w:rPr>
              <w:t xml:space="preserve">得 </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0</w:t>
            </w:r>
            <w:r>
              <w:rPr>
                <w:rFonts w:hint="eastAsia" w:ascii="宋体" w:hAnsi="宋体" w:eastAsia="宋体" w:cs="Times New Roman"/>
                <w:szCs w:val="21"/>
                <w:highlight w:val="none"/>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snapToGrid w:val="0"/>
              <w:spacing w:line="320" w:lineRule="exact"/>
              <w:jc w:val="center"/>
              <w:rPr>
                <w:rFonts w:hAnsi="宋体"/>
                <w:highlight w:val="none"/>
              </w:rPr>
            </w:pPr>
            <w:r>
              <w:rPr>
                <w:rFonts w:hint="eastAsia" w:hAnsi="宋体"/>
                <w:highlight w:val="none"/>
              </w:rPr>
              <w:t>2.2.4（</w:t>
            </w:r>
            <w:r>
              <w:rPr>
                <w:rFonts w:hint="eastAsia" w:hAnsi="宋体"/>
                <w:highlight w:val="none"/>
                <w:lang w:val="en-US" w:eastAsia="zh-CN"/>
              </w:rPr>
              <w:t>4</w:t>
            </w:r>
            <w:r>
              <w:rPr>
                <w:rFonts w:hint="eastAsia" w:hAnsi="宋体"/>
                <w:highlight w:val="none"/>
              </w:rPr>
              <w:t>）</w:t>
            </w:r>
          </w:p>
        </w:tc>
        <w:tc>
          <w:tcPr>
            <w:tcW w:w="741" w:type="dxa"/>
            <w:tcBorders>
              <w:top w:val="nil"/>
            </w:tcBorders>
            <w:noWrap w:val="0"/>
            <w:vAlign w:val="center"/>
          </w:tcPr>
          <w:p>
            <w:pPr>
              <w:pStyle w:val="5"/>
              <w:snapToGrid w:val="0"/>
              <w:spacing w:line="320" w:lineRule="exact"/>
              <w:jc w:val="center"/>
              <w:rPr>
                <w:rFonts w:hAnsi="宋体"/>
                <w:highlight w:val="none"/>
              </w:rPr>
            </w:pPr>
            <w:r>
              <w:rPr>
                <w:rFonts w:hint="eastAsia" w:hAnsi="宋体"/>
                <w:highlight w:val="none"/>
              </w:rPr>
              <w:t>评标价</w:t>
            </w:r>
          </w:p>
        </w:tc>
        <w:tc>
          <w:tcPr>
            <w:tcW w:w="624" w:type="dxa"/>
            <w:tcBorders>
              <w:top w:val="nil"/>
              <w:bottom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lang w:val="en-US" w:eastAsia="zh-CN"/>
              </w:rPr>
              <w:t>50</w:t>
            </w:r>
            <w:r>
              <w:rPr>
                <w:rFonts w:hint="eastAsia" w:hAnsi="宋体"/>
                <w:highlight w:val="none"/>
              </w:rPr>
              <w:t>分</w:t>
            </w:r>
          </w:p>
        </w:tc>
        <w:tc>
          <w:tcPr>
            <w:tcW w:w="7546" w:type="dxa"/>
            <w:gridSpan w:val="3"/>
            <w:tcBorders>
              <w:bottom w:val="single" w:color="auto" w:sz="4" w:space="0"/>
            </w:tcBorders>
            <w:noWrap w:val="0"/>
            <w:vAlign w:val="center"/>
          </w:tcPr>
          <w:p>
            <w:pPr>
              <w:snapToGrid w:val="0"/>
              <w:spacing w:line="320" w:lineRule="exact"/>
              <w:rPr>
                <w:rFonts w:ascii="宋体" w:hAnsi="宋体"/>
                <w:szCs w:val="21"/>
                <w:highlight w:val="none"/>
              </w:rPr>
            </w:pPr>
            <w:r>
              <w:rPr>
                <w:rFonts w:hint="eastAsia" w:ascii="宋体" w:hAnsi="宋体"/>
                <w:szCs w:val="21"/>
                <w:highlight w:val="none"/>
              </w:rPr>
              <w:t>评标价得分计算公式示例：</w:t>
            </w:r>
          </w:p>
          <w:p>
            <w:pPr>
              <w:snapToGrid w:val="0"/>
              <w:spacing w:line="320" w:lineRule="exact"/>
              <w:rPr>
                <w:rFonts w:ascii="宋体" w:hAnsi="宋体"/>
                <w:szCs w:val="21"/>
                <w:highlight w:val="none"/>
              </w:rPr>
            </w:pPr>
            <w:r>
              <w:rPr>
                <w:rFonts w:hint="eastAsia" w:ascii="宋体" w:hAnsi="宋体"/>
                <w:szCs w:val="21"/>
                <w:highlight w:val="none"/>
              </w:rPr>
              <w:t>（1）如果投标人的评标价＞评标基准价，则评标价得分=F-（投标人评标价-评标基准价）/评标基准价×100×E1；</w:t>
            </w:r>
          </w:p>
          <w:p>
            <w:pPr>
              <w:snapToGrid w:val="0"/>
              <w:spacing w:line="320" w:lineRule="exact"/>
              <w:rPr>
                <w:rFonts w:ascii="宋体" w:hAnsi="宋体"/>
                <w:szCs w:val="21"/>
                <w:highlight w:val="none"/>
              </w:rPr>
            </w:pPr>
            <w:r>
              <w:rPr>
                <w:rFonts w:hint="eastAsia" w:ascii="宋体" w:hAnsi="宋体"/>
                <w:szCs w:val="21"/>
                <w:highlight w:val="none"/>
              </w:rPr>
              <w:t>（2）如果投标人的评标价≤评标基准价，则评标价得分=F+(投标人评标价-评标基准价)/评标基准价×100×E2。</w:t>
            </w:r>
          </w:p>
          <w:p>
            <w:pPr>
              <w:snapToGrid w:val="0"/>
              <w:spacing w:line="320" w:lineRule="exact"/>
              <w:jc w:val="left"/>
              <w:rPr>
                <w:rFonts w:ascii="宋体" w:hAnsi="宋体"/>
                <w:szCs w:val="21"/>
                <w:highlight w:val="none"/>
              </w:rPr>
            </w:pPr>
            <w:r>
              <w:rPr>
                <w:rFonts w:hint="eastAsia" w:ascii="宋体" w:hAnsi="宋体"/>
                <w:szCs w:val="21"/>
                <w:highlight w:val="none"/>
              </w:rPr>
              <w:t>其中，F=</w:t>
            </w:r>
            <w:r>
              <w:rPr>
                <w:rFonts w:hint="eastAsia" w:ascii="宋体" w:hAnsi="宋体"/>
                <w:szCs w:val="21"/>
                <w:highlight w:val="none"/>
                <w:lang w:val="en-US" w:eastAsia="zh-CN"/>
              </w:rPr>
              <w:t>50</w:t>
            </w:r>
            <w:r>
              <w:rPr>
                <w:rFonts w:hint="eastAsia" w:ascii="宋体" w:hAnsi="宋体"/>
                <w:szCs w:val="21"/>
                <w:highlight w:val="none"/>
              </w:rPr>
              <w:t>；E1=0.2；E2=0.1；评标价最低得分为0分。</w:t>
            </w:r>
          </w:p>
          <w:p>
            <w:pPr>
              <w:snapToGrid w:val="0"/>
              <w:spacing w:line="320" w:lineRule="exact"/>
              <w:jc w:val="left"/>
              <w:rPr>
                <w:rFonts w:hint="eastAsia" w:ascii="宋体" w:hAnsi="宋体"/>
                <w:szCs w:val="21"/>
                <w:highlight w:val="none"/>
              </w:rPr>
            </w:pPr>
            <w:r>
              <w:rPr>
                <w:rFonts w:hint="eastAsia" w:ascii="宋体" w:hAnsi="宋体"/>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1" w:type="dxa"/>
            <w:noWrap w:val="0"/>
            <w:vAlign w:val="center"/>
          </w:tcPr>
          <w:p>
            <w:pPr>
              <w:pStyle w:val="5"/>
              <w:snapToGrid w:val="0"/>
              <w:spacing w:line="320" w:lineRule="exact"/>
              <w:jc w:val="center"/>
              <w:rPr>
                <w:rFonts w:hAnsi="宋体"/>
                <w:highlight w:val="none"/>
              </w:rPr>
            </w:pPr>
            <w:r>
              <w:rPr>
                <w:rFonts w:hint="eastAsia" w:hAnsi="宋体"/>
                <w:highlight w:val="none"/>
              </w:rPr>
              <w:t>2.2.4（</w:t>
            </w:r>
            <w:r>
              <w:rPr>
                <w:rFonts w:hint="eastAsia" w:hAnsi="宋体"/>
                <w:highlight w:val="none"/>
                <w:lang w:val="en-US" w:eastAsia="zh-CN"/>
              </w:rPr>
              <w:t>5</w:t>
            </w:r>
            <w:r>
              <w:rPr>
                <w:rFonts w:hint="eastAsia" w:hAnsi="宋体"/>
                <w:highlight w:val="none"/>
              </w:rPr>
              <w:t>）</w:t>
            </w:r>
          </w:p>
        </w:tc>
        <w:tc>
          <w:tcPr>
            <w:tcW w:w="741" w:type="dxa"/>
            <w:noWrap w:val="0"/>
            <w:vAlign w:val="center"/>
          </w:tcPr>
          <w:p>
            <w:pPr>
              <w:pStyle w:val="5"/>
              <w:snapToGrid w:val="0"/>
              <w:spacing w:line="320" w:lineRule="exact"/>
              <w:jc w:val="center"/>
              <w:rPr>
                <w:rFonts w:hAnsi="宋体"/>
                <w:highlight w:val="none"/>
              </w:rPr>
            </w:pPr>
            <w:r>
              <w:rPr>
                <w:rFonts w:hint="eastAsia" w:hAnsi="宋体"/>
                <w:highlight w:val="none"/>
              </w:rPr>
              <w:t>其他因素</w:t>
            </w:r>
          </w:p>
        </w:tc>
        <w:tc>
          <w:tcPr>
            <w:tcW w:w="624" w:type="dxa"/>
            <w:tcBorders>
              <w:top w:val="single" w:color="auto" w:sz="4" w:space="0"/>
            </w:tcBorders>
            <w:noWrap w:val="0"/>
            <w:vAlign w:val="center"/>
          </w:tcPr>
          <w:p>
            <w:pPr>
              <w:pStyle w:val="5"/>
              <w:snapToGrid w:val="0"/>
              <w:spacing w:line="320" w:lineRule="exact"/>
              <w:jc w:val="center"/>
              <w:rPr>
                <w:rFonts w:hAnsi="宋体"/>
                <w:highlight w:val="none"/>
              </w:rPr>
            </w:pPr>
            <w:r>
              <w:rPr>
                <w:rFonts w:hint="eastAsia" w:hAnsi="宋体"/>
                <w:highlight w:val="none"/>
                <w:lang w:val="en-US" w:eastAsia="zh-CN"/>
              </w:rPr>
              <w:t>0</w:t>
            </w:r>
            <w:r>
              <w:rPr>
                <w:rFonts w:hint="eastAsia" w:hAnsi="宋体"/>
                <w:highlight w:val="none"/>
              </w:rPr>
              <w:t>分</w:t>
            </w:r>
          </w:p>
        </w:tc>
        <w:tc>
          <w:tcPr>
            <w:tcW w:w="7546" w:type="dxa"/>
            <w:gridSpan w:val="3"/>
            <w:tcBorders>
              <w:top w:val="single" w:color="auto" w:sz="4" w:space="0"/>
              <w:bottom w:val="single" w:color="auto" w:sz="4" w:space="0"/>
            </w:tcBorders>
            <w:noWrap w:val="0"/>
            <w:vAlign w:val="center"/>
          </w:tcPr>
          <w:p>
            <w:pPr>
              <w:snapToGrid w:val="0"/>
              <w:spacing w:line="320" w:lineRule="exact"/>
              <w:rPr>
                <w:rFonts w:hint="default" w:ascii="宋体" w:hAnsi="宋体" w:eastAsia="宋体"/>
                <w:szCs w:val="21"/>
                <w:highlight w:val="none"/>
                <w:lang w:val="en-US" w:eastAsia="zh-CN"/>
              </w:rPr>
            </w:pPr>
            <w:r>
              <w:rPr>
                <w:rFonts w:hint="eastAsia" w:ascii="宋体" w:hAnsi="宋体"/>
                <w:szCs w:val="21"/>
                <w:highlight w:val="none"/>
                <w:lang w:val="en-US" w:eastAsia="zh-CN"/>
              </w:rPr>
              <w:t>无</w:t>
            </w:r>
          </w:p>
        </w:tc>
      </w:tr>
    </w:tbl>
    <w:p>
      <w:pPr>
        <w:pStyle w:val="5"/>
        <w:rPr>
          <w:rFonts w:hAnsi="宋体"/>
          <w:highlight w:val="none"/>
        </w:rPr>
      </w:pPr>
      <w:r>
        <w:rPr>
          <w:rFonts w:hint="eastAsia" w:hAnsi="宋体"/>
          <w:highlight w:val="none"/>
        </w:rPr>
        <w:t>注：1、</w:t>
      </w:r>
      <w:r>
        <w:rPr>
          <w:rFonts w:hAnsi="宋体"/>
          <w:highlight w:val="none"/>
        </w:rPr>
        <w:t>各评分因素得分应以评标委员会各成员的打分平均值确定</w:t>
      </w:r>
      <w:r>
        <w:rPr>
          <w:rFonts w:hint="eastAsia" w:hAnsi="宋体"/>
          <w:highlight w:val="none"/>
        </w:rPr>
        <w:t>。</w:t>
      </w:r>
    </w:p>
    <w:p>
      <w:pPr>
        <w:pStyle w:val="5"/>
        <w:ind w:firstLine="428" w:firstLineChars="204"/>
        <w:rPr>
          <w:rFonts w:hAnsi="宋体"/>
          <w:highlight w:val="none"/>
        </w:rPr>
      </w:pPr>
      <w:r>
        <w:rPr>
          <w:rFonts w:hint="eastAsia" w:hAnsi="宋体"/>
          <w:highlight w:val="none"/>
        </w:rPr>
        <w:t>2、</w:t>
      </w:r>
      <w:r>
        <w:rPr>
          <w:rFonts w:hint="eastAsia" w:hAnsi="宋体"/>
          <w:highlight w:val="none"/>
          <w:lang w:val="en-US" w:eastAsia="zh-CN"/>
        </w:rPr>
        <w:t>承包人</w:t>
      </w:r>
      <w:r>
        <w:rPr>
          <w:rFonts w:hint="eastAsia" w:ascii="宋体" w:hAnsi="宋体" w:eastAsia="宋体" w:cs="宋体"/>
          <w:sz w:val="21"/>
          <w:szCs w:val="21"/>
          <w:highlight w:val="none"/>
        </w:rPr>
        <w:t>建议书</w:t>
      </w:r>
      <w:r>
        <w:rPr>
          <w:rFonts w:hint="eastAsia" w:ascii="宋体" w:hAnsi="宋体" w:eastAsia="宋体" w:cs="宋体"/>
          <w:sz w:val="21"/>
          <w:szCs w:val="21"/>
          <w:highlight w:val="none"/>
          <w:lang w:val="en-US" w:eastAsia="zh-CN"/>
        </w:rPr>
        <w:t>和</w:t>
      </w:r>
      <w:r>
        <w:rPr>
          <w:rFonts w:hint="eastAsia" w:hAnsi="宋体"/>
          <w:highlight w:val="none"/>
        </w:rPr>
        <w:t>实施方案评审项缺项则该项得0分。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23F21382"/>
    <w:rsid w:val="3CB55C6E"/>
    <w:rsid w:val="3D09356D"/>
    <w:rsid w:val="5B9825E8"/>
    <w:rsid w:val="5BF46825"/>
    <w:rsid w:val="626A5FAC"/>
    <w:rsid w:val="69787200"/>
    <w:rsid w:val="7D05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412" w:lineRule="auto"/>
      <w:outlineLvl w:val="1"/>
    </w:pPr>
    <w:rPr>
      <w:rFonts w:ascii="Arial" w:hAnsi="Arial" w:eastAsia="黑体"/>
      <w:b/>
      <w:kern w:val="2"/>
      <w:sz w:val="32"/>
    </w:rPr>
  </w:style>
  <w:style w:type="paragraph" w:styleId="4">
    <w:name w:val="heading 3"/>
    <w:basedOn w:val="1"/>
    <w:next w:val="1"/>
    <w:qFormat/>
    <w:uiPriority w:val="0"/>
    <w:pPr>
      <w:keepNext/>
      <w:keepLines/>
      <w:widowControl w:val="0"/>
      <w:spacing w:before="260" w:after="260" w:line="412" w:lineRule="auto"/>
      <w:outlineLvl w:val="2"/>
    </w:pPr>
    <w:rPr>
      <w:b/>
      <w:bCs/>
      <w:kern w:val="2"/>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kern w:val="2"/>
      <w:sz w:val="21"/>
      <w:szCs w:val="24"/>
    </w:rPr>
  </w:style>
  <w:style w:type="paragraph" w:styleId="5">
    <w:name w:val="Plain Text"/>
    <w:basedOn w:val="1"/>
    <w:qFormat/>
    <w:uiPriority w:val="99"/>
    <w:rPr>
      <w:rFonts w:ascii="宋体"/>
      <w:szCs w:val="21"/>
    </w:rPr>
  </w:style>
  <w:style w:type="paragraph" w:styleId="6">
    <w:name w:val="Title"/>
    <w:basedOn w:val="1"/>
    <w:next w:val="1"/>
    <w:qFormat/>
    <w:uiPriority w:val="0"/>
    <w:pPr>
      <w:spacing w:before="240" w:beforeLines="0" w:after="60" w:afterLines="0"/>
      <w:jc w:val="center"/>
      <w:outlineLvl w:val="0"/>
    </w:pPr>
    <w:rPr>
      <w:sz w:val="18"/>
      <w:szCs w:val="18"/>
    </w:rPr>
  </w:style>
  <w:style w:type="paragraph" w:customStyle="1" w:styleId="9">
    <w:name w:val="目录3"/>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10">
    <w:name w:val="正文部分 Char Char Char"/>
    <w:basedOn w:val="2"/>
    <w:next w:val="11"/>
    <w:qFormat/>
    <w:uiPriority w:val="99"/>
    <w:pPr>
      <w:spacing w:line="460" w:lineRule="exact"/>
      <w:textAlignment w:val="baseline"/>
    </w:pPr>
    <w:rPr>
      <w:sz w:val="24"/>
    </w:rPr>
  </w:style>
  <w:style w:type="paragraph" w:customStyle="1" w:styleId="11">
    <w:name w:val="章标题"/>
    <w:basedOn w:val="6"/>
    <w:qFormat/>
    <w:uiPriority w:val="99"/>
    <w:pPr>
      <w:spacing w:line="360" w:lineRule="auto"/>
    </w:pPr>
  </w:style>
  <w:style w:type="paragraph" w:customStyle="1" w:styleId="12">
    <w:name w:val="样式54"/>
    <w:basedOn w:val="3"/>
    <w:qFormat/>
    <w:uiPriority w:val="0"/>
    <w:pPr>
      <w:spacing w:before="0" w:after="0" w:line="360" w:lineRule="auto"/>
      <w:jc w:val="center"/>
    </w:pPr>
  </w:style>
  <w:style w:type="paragraph" w:customStyle="1" w:styleId="1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4">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5">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6444</Words>
  <Characters>7018</Characters>
  <Lines>0</Lines>
  <Paragraphs>0</Paragraphs>
  <TotalTime>3</TotalTime>
  <ScaleCrop>false</ScaleCrop>
  <LinksUpToDate>false</LinksUpToDate>
  <CharactersWithSpaces>7138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2022-10-08T00:55:00Z</dcterms:created>
  <dc:creator>Administrator</dc:creator>
  <cp:lastModifiedBy>李强</cp:lastModifiedBy>
  <dcterms:modified xsi:type="dcterms:W3CDTF">2022-10-08T01:26:57Z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952D179ADFA74E19B782E030E89F49FC</vt:lpwstr>
  </property>
</Properties>
</file>