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_Toc147926219"/>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rPr>
          <w:rFonts w:ascii="宋体" w:hAnsi="宋体"/>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pPr>
              <w:snapToGrid w:val="0"/>
              <w:spacing w:line="320" w:lineRule="exact"/>
              <w:jc w:val="center"/>
              <w:rPr>
                <w:rFonts w:ascii="宋体" w:hAnsi="宋体"/>
                <w:szCs w:val="21"/>
              </w:rPr>
            </w:pPr>
            <w:r>
              <w:rPr>
                <w:rFonts w:hint="eastAsia" w:ascii="宋体" w:hAnsi="宋体"/>
                <w:szCs w:val="21"/>
              </w:rPr>
              <w:t>营业执照</w:t>
            </w:r>
          </w:p>
        </w:tc>
        <w:tc>
          <w:tcPr>
            <w:tcW w:w="7702" w:type="dxa"/>
            <w:vAlign w:val="center"/>
          </w:tcPr>
          <w:p>
            <w:pPr>
              <w:snapToGrid w:val="0"/>
              <w:spacing w:line="320" w:lineRule="exact"/>
              <w:rPr>
                <w:rFonts w:ascii="宋体" w:hAnsi="宋体"/>
                <w:szCs w:val="21"/>
              </w:rPr>
            </w:pPr>
            <w:r>
              <w:rPr>
                <w:rFonts w:hint="eastAsia" w:ascii="宋体" w:hAnsi="宋体"/>
                <w:kern w:val="0"/>
                <w:szCs w:val="21"/>
              </w:rPr>
              <w:t>具有独立法人资格，具有有效的企业营业执照或事业单位法人证书。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466" w:type="dxa"/>
            <w:vAlign w:val="center"/>
          </w:tcPr>
          <w:p>
            <w:pPr>
              <w:snapToGrid w:val="0"/>
              <w:spacing w:line="320" w:lineRule="exact"/>
              <w:jc w:val="center"/>
              <w:rPr>
                <w:rFonts w:ascii="宋体" w:hAnsi="宋体"/>
                <w:szCs w:val="21"/>
              </w:rPr>
            </w:pPr>
            <w:r>
              <w:rPr>
                <w:rFonts w:hint="eastAsia" w:ascii="宋体" w:hAnsi="宋体"/>
                <w:szCs w:val="21"/>
              </w:rPr>
              <w:t>资质条件</w:t>
            </w:r>
          </w:p>
        </w:tc>
        <w:tc>
          <w:tcPr>
            <w:tcW w:w="7702" w:type="dxa"/>
            <w:vAlign w:val="center"/>
          </w:tcPr>
          <w:p>
            <w:pPr>
              <w:snapToGrid w:val="0"/>
              <w:spacing w:line="360" w:lineRule="exact"/>
              <w:rPr>
                <w:rFonts w:ascii="宋体" w:hAnsi="宋体"/>
                <w:kern w:val="0"/>
                <w:szCs w:val="21"/>
              </w:rPr>
            </w:pPr>
            <w:r>
              <w:rPr>
                <w:rFonts w:hint="eastAsia" w:ascii="宋体" w:hAnsi="宋体"/>
                <w:kern w:val="0"/>
                <w:szCs w:val="21"/>
              </w:rPr>
              <w:t>具有交通主管部门颁发的</w:t>
            </w:r>
            <w:r>
              <w:rPr>
                <w:rFonts w:ascii="宋体" w:hAnsi="宋体"/>
                <w:szCs w:val="21"/>
              </w:rPr>
              <w:t>公路工程</w:t>
            </w:r>
            <w:r>
              <w:rPr>
                <w:rFonts w:hint="eastAsia" w:ascii="宋体" w:hAnsi="宋体"/>
                <w:szCs w:val="21"/>
              </w:rPr>
              <w:t>交通工程专项</w:t>
            </w:r>
            <w:r>
              <w:rPr>
                <w:rFonts w:hint="eastAsia" w:ascii="宋体" w:hAnsi="宋体"/>
                <w:kern w:val="0"/>
                <w:szCs w:val="21"/>
              </w:rPr>
              <w:t>试验检测资质证书，同时具有省级及以上技术监督部门颁发的相应的CMA计量认证证书(独立法人单位下属的非独立法人检测机构具有上述资质的，视为该独立法人单位具有相应资质)。</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09"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209"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近5年（2018年11月1日至投标截止时间，以合同签订时间为准）至少承担过1项高速公路（新建或改扩建或养护）机电工程检测项目业绩。</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209"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209"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w:t>
            </w:r>
            <w:r>
              <w:rPr>
                <w:rFonts w:ascii="宋体" w:hAnsi="宋体"/>
                <w:kern w:val="0"/>
                <w:szCs w:val="21"/>
              </w:rPr>
              <w:t>11月1日</w:t>
            </w:r>
            <w:r>
              <w:rPr>
                <w:rFonts w:hint="eastAsia" w:ascii="宋体" w:hAnsi="宋体"/>
                <w:kern w:val="0"/>
                <w:szCs w:val="21"/>
              </w:rPr>
              <w:t>至投标截止时间）不曾在高速公路机电工程检测合同中违约被逐或因投标人自身的原因而使高速公路机电工程检测合同被解除。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917"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917" w:type="dxa"/>
            <w:vAlign w:val="center"/>
          </w:tcPr>
          <w:p>
            <w:pPr>
              <w:jc w:val="left"/>
              <w:rPr>
                <w:rFonts w:ascii="宋体" w:hAnsi="宋体"/>
                <w:szCs w:val="21"/>
              </w:rPr>
            </w:pPr>
            <w:r>
              <w:rPr>
                <w:rFonts w:hint="eastAsia" w:ascii="宋体" w:hAnsi="宋体"/>
                <w:szCs w:val="21"/>
              </w:rPr>
              <w:t>高级工程师；</w:t>
            </w:r>
          </w:p>
          <w:p>
            <w:pPr>
              <w:jc w:val="left"/>
              <w:rPr>
                <w:rFonts w:ascii="宋体" w:hAnsi="宋体"/>
                <w:szCs w:val="21"/>
              </w:rPr>
            </w:pPr>
            <w:r>
              <w:rPr>
                <w:rFonts w:hint="eastAsia" w:ascii="宋体" w:hAnsi="宋体"/>
                <w:szCs w:val="21"/>
              </w:rPr>
              <w:t>具有交通运输部颁发的机电工程专业或交通工程专项试验检测工程师证书且在投标单位进行注册；</w:t>
            </w:r>
          </w:p>
          <w:p>
            <w:pPr>
              <w:jc w:val="left"/>
              <w:rPr>
                <w:rFonts w:ascii="宋体" w:hAnsi="宋体"/>
                <w:szCs w:val="21"/>
              </w:rPr>
            </w:pPr>
            <w:r>
              <w:rPr>
                <w:rFonts w:hint="eastAsia" w:ascii="宋体" w:hAnsi="宋体"/>
                <w:szCs w:val="21"/>
              </w:rPr>
              <w:t>近5年（2018年</w:t>
            </w:r>
            <w:r>
              <w:rPr>
                <w:rFonts w:ascii="宋体" w:hAnsi="宋体"/>
                <w:szCs w:val="21"/>
              </w:rPr>
              <w:t>11月1日</w:t>
            </w:r>
            <w:r>
              <w:rPr>
                <w:rFonts w:hint="eastAsia" w:ascii="宋体" w:hAnsi="宋体"/>
                <w:szCs w:val="21"/>
              </w:rPr>
              <w:t>至投标截止时间，以合同签订时间为准）至少担任过1项高速公路（新建或改扩建或养护）机电工程检测项目的项目负责人。</w:t>
            </w:r>
          </w:p>
        </w:tc>
      </w:tr>
    </w:tbl>
    <w:p>
      <w:pPr>
        <w:rPr>
          <w:rFonts w:ascii="宋体" w:hAnsi="宋体"/>
          <w:sz w:val="24"/>
          <w:szCs w:val="24"/>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1" w:name="_Toc147926220"/>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2"/>
        <w:snapToGrid w:val="0"/>
        <w:spacing w:before="120" w:after="120" w:line="240" w:lineRule="auto"/>
        <w:rPr>
          <w:sz w:val="24"/>
          <w:szCs w:val="24"/>
        </w:rPr>
      </w:pPr>
      <w:bookmarkStart w:id="2" w:name="_Toc65857110"/>
      <w:bookmarkStart w:id="3" w:name="_Toc66984522"/>
      <w:bookmarkStart w:id="4" w:name="_Toc65820978"/>
      <w:bookmarkStart w:id="5" w:name="_Toc147926221"/>
      <w:bookmarkStart w:id="6" w:name="_Toc138923911"/>
      <w:bookmarkStart w:id="7" w:name="_Toc66337244"/>
      <w:bookmarkStart w:id="8" w:name="_Hlk147755811"/>
      <w:r>
        <w:rPr>
          <w:rFonts w:hint="eastAsia"/>
          <w:sz w:val="24"/>
          <w:szCs w:val="24"/>
        </w:rPr>
        <w:t>评标办法前附表</w:t>
      </w:r>
      <w:bookmarkEnd w:id="2"/>
      <w:bookmarkEnd w:id="3"/>
      <w:bookmarkEnd w:id="4"/>
      <w:bookmarkEnd w:id="5"/>
      <w:bookmarkEnd w:id="6"/>
      <w:bookmarkEnd w:id="7"/>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但投标报价低于其成本的除外。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）投标文件上法定代表人或其委托代理人的签字、投标人的单位盖章齐全，符合招标文件规定。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）同一投标人未提交两个以上不同的投标文件或备选方案。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（2）投标文件上法定代表人或其委托代理人的签字、投标人的单位章盖章齐全，符合招标文件规定。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bCs/>
              </w:rPr>
              <w:t>投标函中的投标报价未超过招标文件设定的最高投标限价，</w:t>
            </w:r>
            <w:r>
              <w:rPr>
                <w:rFonts w:hint="eastAsia" w:ascii="宋体" w:hAnsi="宋体"/>
                <w:bCs/>
                <w:szCs w:val="24"/>
              </w:rPr>
              <w:t>费用清单中</w:t>
            </w:r>
            <w:r>
              <w:rPr>
                <w:rFonts w:hint="eastAsia" w:ascii="宋体" w:hAnsi="宋体"/>
                <w:bCs/>
              </w:rPr>
              <w:t>子项目报价均未超过招标文件设定的各子项目最高投标限价。</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）投标报价中报价的大写金额能够确定具体数值。</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）同一投标人未提交两个以上不同的投标报价。</w:t>
            </w:r>
          </w:p>
          <w:p>
            <w:pPr>
              <w:tabs>
                <w:tab w:val="left" w:pos="3060"/>
              </w:tabs>
              <w:spacing w:line="320" w:lineRule="exact"/>
              <w:ind w:firstLine="105" w:firstLineChars="50"/>
              <w:rPr>
                <w:rFonts w:ascii="宋体" w:hAnsi="宋体"/>
                <w:b/>
                <w:szCs w:val="21"/>
              </w:rPr>
            </w:pPr>
            <w:r>
              <w:rPr>
                <w:rFonts w:hint="eastAsia" w:ascii="宋体" w:hAnsi="宋体"/>
                <w:szCs w:val="21"/>
              </w:rPr>
              <w:t>（6）费用清单</w:t>
            </w:r>
            <w:r>
              <w:rPr>
                <w:rFonts w:hint="eastAsia" w:ascii="宋体" w:hAnsi="宋体"/>
                <w:bCs/>
                <w:szCs w:val="21"/>
              </w:rPr>
              <w:t>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（1）投标人具备有效的营业执照、组织机构代码证（三证合一的除外）、资质证书和基本账户开户许可证（或基本存款账户信息）；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w:t>
            </w:r>
            <w:r>
              <w:rPr>
                <w:rFonts w:ascii="宋体" w:hAnsi="宋体"/>
                <w:szCs w:val="21"/>
              </w:rPr>
              <w:t>5</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（1）投标人名称和资质与</w:t>
            </w:r>
            <w:r>
              <w:rPr>
                <w:rFonts w:hint="eastAsia" w:ascii="宋体" w:hAnsi="宋体"/>
                <w:szCs w:val="21"/>
              </w:rPr>
              <w:t>“全国公路水运工程质量试验检测管理信息系统（https://www.ttiis.cn）”的复核结果一致；</w:t>
            </w:r>
          </w:p>
          <w:p>
            <w:pPr>
              <w:autoSpaceDE w:val="0"/>
              <w:autoSpaceDN w:val="0"/>
              <w:spacing w:line="273"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投标人信用情况网页截图内容与在“国家企业信用信息公示系统”中严重违法失信企业名单（不含分公司，事业单位投标人不适用）或在“信用中国”网站中失信被执行人名单、经营异常名录、重大税收违法失信主体名单、政府采购严重违法失信名单（均不含分公司）的复核结果一致。</w:t>
            </w:r>
          </w:p>
          <w:p>
            <w:pPr>
              <w:autoSpaceDE w:val="0"/>
              <w:autoSpaceDN w:val="0"/>
              <w:spacing w:line="273" w:lineRule="auto"/>
              <w:ind w:firstLine="420" w:firstLineChars="200"/>
              <w:rPr>
                <w:rFonts w:ascii="宋体" w:hAnsi="宋体"/>
              </w:rPr>
            </w:pPr>
            <w:r>
              <w:rPr>
                <w:rFonts w:hint="eastAsia" w:ascii="宋体" w:hAnsi="宋体"/>
              </w:rPr>
              <w:t>（3）投标人所附项目负责人试验检测师（或试验检测工程师）的网页截图复印件与</w:t>
            </w:r>
            <w:r>
              <w:rPr>
                <w:rFonts w:hint="eastAsia" w:ascii="宋体" w:hAnsi="宋体"/>
                <w:szCs w:val="21"/>
              </w:rPr>
              <w:t>“全国公路水运工程质量试验检测管理信息系统（https://www.ttiis.cn）”</w:t>
            </w:r>
            <w:r>
              <w:rPr>
                <w:rFonts w:hint="eastAsia" w:ascii="宋体" w:hAnsi="宋体"/>
              </w:rPr>
              <w:t>核查的结果一致。</w:t>
            </w:r>
          </w:p>
          <w:p>
            <w:pPr>
              <w:autoSpaceDE w:val="0"/>
              <w:autoSpaceDN w:val="0"/>
              <w:spacing w:line="273" w:lineRule="auto"/>
              <w:ind w:firstLine="420" w:firstLineChars="200"/>
              <w:rPr>
                <w:rFonts w:ascii="宋体" w:hAnsi="宋体"/>
              </w:rPr>
            </w:pPr>
            <w:r>
              <w:rPr>
                <w:rFonts w:hint="eastAsia" w:ascii="宋体" w:hAnsi="宋体"/>
              </w:rPr>
              <w:t>上述（1）、（2）、（3）项如投标人未提供相关网页截图或所附截图与复核结果不一致，评标委员会应否决其投标。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（4）评标委员会在评标时按照投标人提供的验证方式对电子保函或电子保证保险进行验证。如投标人未提供电子保函或电子保证保险的验证方式，或根据提供的验证方式无法核实的，评标委员会应否决其投标。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本项目的施工单位、施工监理单位，或与本项目施工单位或施工监理单位的单位负责人为同一人、或存在参股或者管理关系的不同单位参加本项目的投标的，不再被推荐为中标候选人。投标人中标后不得再承接本项目的施工标段、施工监理标段的试验检测任务。</w:t>
            </w:r>
          </w:p>
        </w:tc>
      </w:tr>
    </w:tbl>
    <w:p/>
    <w:p>
      <w:pPr>
        <w:jc w:val="right"/>
      </w:pPr>
      <w:r>
        <w:br w:type="page"/>
      </w:r>
      <w:r>
        <w:rPr>
          <w:rFonts w:hint="eastAsia"/>
        </w:rPr>
        <w:t>续上表</w:t>
      </w:r>
    </w:p>
    <w:tbl>
      <w:tblPr>
        <w:tblStyle w:val="4"/>
        <w:tblW w:w="9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pPr>
              <w:autoSpaceDE w:val="0"/>
              <w:autoSpaceDN w:val="0"/>
              <w:spacing w:line="440" w:lineRule="exact"/>
              <w:ind w:right="11"/>
              <w:jc w:val="center"/>
              <w:rPr>
                <w:rFonts w:ascii="宋体" w:hAnsi="宋体" w:cs="宋体"/>
                <w:b/>
                <w:kern w:val="0"/>
                <w:szCs w:val="21"/>
              </w:rPr>
            </w:pPr>
            <w:bookmarkStart w:id="10" w:name="_GoBack"/>
            <w:r>
              <w:rPr>
                <w:rFonts w:hint="eastAsia" w:ascii="宋体" w:hAnsi="宋体" w:cs="宋体"/>
                <w:b/>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10分</w:t>
            </w:r>
          </w:p>
        </w:tc>
        <w:tc>
          <w:tcPr>
            <w:tcW w:w="4820" w:type="dxa"/>
            <w:tcBorders>
              <w:top w:val="single" w:color="auto" w:sz="4" w:space="0"/>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6</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合理，可行6-8分；</w:t>
            </w:r>
          </w:p>
          <w:p>
            <w:pPr>
              <w:pStyle w:val="3"/>
              <w:snapToGrid w:val="0"/>
              <w:jc w:val="left"/>
              <w:rPr>
                <w:rFonts w:hAnsi="宋体"/>
                <w:kern w:val="2"/>
                <w:sz w:val="21"/>
                <w:szCs w:val="21"/>
              </w:rPr>
            </w:pPr>
            <w:r>
              <w:rPr>
                <w:rFonts w:hint="eastAsia" w:hAnsi="宋体" w:cs="宋体"/>
                <w:sz w:val="21"/>
                <w:szCs w:val="21"/>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对本项目工作范围和任务理解</w:t>
            </w:r>
          </w:p>
        </w:tc>
        <w:tc>
          <w:tcPr>
            <w:tcW w:w="850"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int="eastAsia" w:hAnsi="宋体" w:cs="宋体"/>
                <w:sz w:val="21"/>
                <w:szCs w:val="21"/>
              </w:rPr>
              <w:t>10分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理解基本准确，思路欠合理6分；</w:t>
            </w:r>
          </w:p>
          <w:p>
            <w:pPr>
              <w:snapToGrid w:val="0"/>
              <w:rPr>
                <w:rFonts w:ascii="宋体" w:hAnsi="宋体" w:cs="宋体"/>
                <w:szCs w:val="21"/>
              </w:rPr>
            </w:pPr>
            <w:r>
              <w:rPr>
                <w:rFonts w:hint="eastAsia" w:ascii="宋体" w:hAnsi="宋体" w:cs="宋体"/>
                <w:szCs w:val="21"/>
              </w:rPr>
              <w:t>理解基本准确，思路一般6-8分；</w:t>
            </w:r>
          </w:p>
          <w:p>
            <w:pPr>
              <w:pStyle w:val="3"/>
              <w:snapToGrid w:val="0"/>
              <w:jc w:val="left"/>
              <w:rPr>
                <w:rFonts w:hAnsi="宋体"/>
                <w:kern w:val="2"/>
                <w:sz w:val="21"/>
                <w:szCs w:val="21"/>
              </w:rPr>
            </w:pPr>
            <w:r>
              <w:rPr>
                <w:rFonts w:hint="eastAsia" w:hAnsi="宋体" w:cs="宋体"/>
                <w:sz w:val="21"/>
                <w:szCs w:val="21"/>
              </w:rPr>
              <w:t>理解准确，思路清晰，全面、合理，符合项目要</w:t>
            </w:r>
            <w:r>
              <w:rPr>
                <w:rFonts w:hint="eastAsia" w:cs="宋体"/>
                <w:sz w:val="21"/>
                <w:szCs w:val="21"/>
              </w:rPr>
              <w:t>求</w:t>
            </w:r>
            <w:r>
              <w:rPr>
                <w:rFonts w:hint="eastAsia" w:hAnsi="宋体" w:cs="宋体"/>
                <w:sz w:val="21"/>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质量、进度、安全保证措施</w:t>
            </w:r>
          </w:p>
        </w:tc>
        <w:tc>
          <w:tcPr>
            <w:tcW w:w="850"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科学先进、严密</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质量检测工作流程</w:t>
            </w:r>
          </w:p>
        </w:tc>
        <w:tc>
          <w:tcPr>
            <w:tcW w:w="850"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科学先进，措施完善，可操作性强</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对可能发现出的问题类型提出切实可行的处理建议和维修方案</w:t>
            </w:r>
          </w:p>
        </w:tc>
        <w:tc>
          <w:tcPr>
            <w:tcW w:w="850"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科学先进，措施完善，可操作性强</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承诺出具的检测（监测）成果及后续服务</w:t>
            </w:r>
          </w:p>
        </w:tc>
        <w:tc>
          <w:tcPr>
            <w:tcW w:w="850"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检测成果符合国家规范要求，后续服务基本完善</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检测成果符合国家规范要求，后续服务较完善</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检测成果符合国家规范要求，后续服务完善</w:t>
            </w:r>
            <w:r>
              <w:rPr>
                <w:rFonts w:hAnsi="宋体" w:cs="宋体"/>
                <w:sz w:val="21"/>
                <w:szCs w:val="21"/>
              </w:rPr>
              <w:t>4</w:t>
            </w:r>
            <w:r>
              <w:rPr>
                <w:rFonts w:hint="eastAsia" w:hAnsi="宋体" w:cs="宋体"/>
                <w:sz w:val="21"/>
                <w:szCs w:val="21"/>
              </w:rPr>
              <w:t>-</w:t>
            </w:r>
            <w:r>
              <w:rPr>
                <w:rFonts w:hAnsi="宋体" w:cs="宋体"/>
                <w:sz w:val="21"/>
                <w:szCs w:val="21"/>
              </w:rPr>
              <w:t>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重点、难点分析</w:t>
            </w:r>
          </w:p>
        </w:tc>
        <w:tc>
          <w:tcPr>
            <w:tcW w:w="850"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欠合理3分；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w:t>
            </w:r>
            <w:r>
              <w:rPr>
                <w:rFonts w:hint="eastAsia" w:ascii="宋体" w:hAnsi="宋体" w:cs="宋体"/>
                <w:szCs w:val="21"/>
              </w:rPr>
              <w:t>-</w:t>
            </w:r>
            <w:r>
              <w:rPr>
                <w:rFonts w:ascii="宋体" w:hAnsi="宋体" w:cs="宋体"/>
                <w:szCs w:val="21"/>
              </w:rPr>
              <w:t>4</w:t>
            </w:r>
            <w:r>
              <w:rPr>
                <w:rFonts w:hint="eastAsia" w:ascii="宋体" w:hAnsi="宋体" w:cs="宋体"/>
                <w:szCs w:val="21"/>
              </w:rPr>
              <w:t>分；</w:t>
            </w:r>
          </w:p>
          <w:p>
            <w:pPr>
              <w:snapToGrid w:val="0"/>
              <w:jc w:val="left"/>
              <w:rPr>
                <w:rFonts w:ascii="宋体" w:hAnsi="宋体"/>
                <w:szCs w:val="21"/>
              </w:rPr>
            </w:pPr>
            <w:r>
              <w:rPr>
                <w:rFonts w:hint="eastAsia" w:ascii="宋体" w:hAnsi="宋体" w:cs="宋体"/>
                <w:szCs w:val="21"/>
              </w:rPr>
              <w:t>科学先进，措施完善，可操作性强</w:t>
            </w:r>
            <w:r>
              <w:rPr>
                <w:rFonts w:ascii="宋体" w:hAnsi="宋体" w:cs="宋体"/>
                <w:szCs w:val="21"/>
              </w:rPr>
              <w:t>4</w:t>
            </w:r>
            <w:r>
              <w:rPr>
                <w:rFonts w:hint="eastAsia" w:ascii="宋体" w:hAnsi="宋体" w:cs="宋体"/>
                <w:szCs w:val="21"/>
              </w:rPr>
              <w:t>-</w:t>
            </w:r>
            <w:r>
              <w:rPr>
                <w:rFonts w:ascii="宋体" w:hAnsi="宋体" w:cs="宋体"/>
                <w:szCs w:val="21"/>
              </w:rPr>
              <w:t>5</w:t>
            </w:r>
            <w:r>
              <w:rPr>
                <w:rFonts w:hint="eastAsia" w:ascii="宋体" w:hAnsi="宋体" w:cs="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8" w:hRule="atLeast"/>
          <w:jc w:val="center"/>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152"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5" w:hRule="exact"/>
          <w:jc w:val="center"/>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152"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kern w:val="2"/>
                <w:sz w:val="21"/>
                <w:szCs w:val="21"/>
              </w:rPr>
            </w:pPr>
            <w:r>
              <w:rPr>
                <w:rFonts w:hint="eastAsia" w:hAnsi="宋体"/>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jc w:val="center"/>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152"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bookmarkEnd w:id="10"/>
    </w:tbl>
    <w:p>
      <w:pPr>
        <w:rPr>
          <w:rFonts w:ascii="宋体" w:hAnsi="宋体"/>
          <w:kern w:val="0"/>
          <w:sz w:val="20"/>
          <w:szCs w:val="20"/>
        </w:rPr>
      </w:pPr>
      <w:r>
        <w:rPr>
          <w:rFonts w:hint="eastAsia" w:ascii="宋体" w:hAnsi="宋体"/>
          <w:kern w:val="0"/>
          <w:sz w:val="20"/>
          <w:szCs w:val="20"/>
        </w:rPr>
        <w:t>注：1、评审因素得分应以评标委员会各成员的打分平均值确定。</w:t>
      </w:r>
    </w:p>
    <w:p>
      <w:pPr>
        <w:ind w:firstLine="400" w:firstLineChars="200"/>
        <w:rPr>
          <w:rFonts w:ascii="宋体" w:hAnsi="宋体"/>
          <w:kern w:val="0"/>
          <w:sz w:val="20"/>
          <w:szCs w:val="20"/>
        </w:rPr>
      </w:pPr>
      <w:r>
        <w:rPr>
          <w:rFonts w:hint="eastAsia" w:ascii="宋体" w:hAnsi="宋体"/>
          <w:kern w:val="0"/>
          <w:sz w:val="20"/>
          <w:szCs w:val="20"/>
        </w:rPr>
        <w:t>2、技术建议书各评分因素细分项的细分项缺项则该项得0分。</w:t>
      </w:r>
    </w:p>
    <w:p>
      <w:pPr>
        <w:ind w:firstLine="400" w:firstLineChars="200"/>
        <w:rPr>
          <w:rFonts w:ascii="宋体" w:hAnsi="宋体"/>
          <w:kern w:val="0"/>
          <w:sz w:val="20"/>
          <w:szCs w:val="20"/>
        </w:rPr>
      </w:pPr>
      <w:r>
        <w:rPr>
          <w:rFonts w:hint="eastAsia" w:ascii="宋体" w:hAnsi="宋体"/>
          <w:kern w:val="0"/>
          <w:sz w:val="20"/>
          <w:szCs w:val="20"/>
        </w:rPr>
        <w:t>3、技术建议书评分时保留1位小数，评标价得分计算时保留两位小数。</w:t>
      </w:r>
    </w:p>
    <w:bookmarkEnd w:id="8"/>
    <w:p>
      <w:pPr>
        <w:widowControl/>
        <w:jc w:val="left"/>
        <w:rPr>
          <w:rFonts w:ascii="宋体" w:hAnsi="宋体"/>
          <w:kern w:val="0"/>
          <w:sz w:val="20"/>
          <w:szCs w:val="20"/>
        </w:rPr>
      </w:pPr>
      <w:r>
        <w:rPr>
          <w:rFonts w:ascii="宋体" w:hAnsi="宋体"/>
          <w:kern w:val="0"/>
          <w:sz w:val="20"/>
          <w:szCs w:val="20"/>
        </w:rPr>
        <w:br w:type="page"/>
      </w:r>
    </w:p>
    <w:p>
      <w:pPr>
        <w:pStyle w:val="2"/>
        <w:snapToGrid w:val="0"/>
        <w:spacing w:before="156" w:beforeLines="50" w:after="156" w:afterLines="50" w:line="240" w:lineRule="auto"/>
        <w:rPr>
          <w:rFonts w:ascii="宋体" w:hAnsi="宋体"/>
          <w:sz w:val="24"/>
          <w:szCs w:val="24"/>
        </w:rPr>
      </w:pPr>
      <w:bookmarkStart w:id="9" w:name="_Toc147926222"/>
      <w:r>
        <w:rPr>
          <w:rFonts w:hint="eastAsia" w:ascii="宋体" w:hAnsi="宋体"/>
          <w:sz w:val="24"/>
          <w:szCs w:val="24"/>
        </w:rPr>
        <w:t>附件3：子项目情况</w:t>
      </w:r>
      <w:bookmarkEnd w:id="9"/>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子项目1：承德分公司2023年监控系统改造工程（委托人：河北高速公路集团有限公司承德分公司）</w:t>
      </w:r>
    </w:p>
    <w:p>
      <w:pPr>
        <w:autoSpaceDE w:val="0"/>
        <w:autoSpaceDN w:val="0"/>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工程内容：将承围支线大庙、前营子及李家营2号隧道和京承段隧道内模拟摄像机全部改造为高清网络摄像机，共计305套，编码器升级为工业以太网交换机，配置相关磁盘阵列、视频事件分析系统、高清解码器、视频转分发服务器及其配套的光电缆。对90处事故多发路段增设高清网络摄像机。</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2</w:t>
      </w:r>
      <w:r>
        <w:rPr>
          <w:rFonts w:hint="eastAsia" w:ascii="宋体" w:hAnsi="宋体" w:cs="宋体"/>
          <w:b/>
          <w:kern w:val="0"/>
          <w:sz w:val="24"/>
        </w:rPr>
        <w:t>：承德分公司承朝高速2023年火灾报警系统升级改造工程（隧道品质提升）（委托人：河北高速公路集团有限公司承德分公司）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工程内容：对小杨树沟等7条隧道火灾探测报警系统由感温光纤探测改为双波长探测方式。包括拆除原有不可利旧设备，配置相关火灾报警工作站，火灾报警控制器，双波长火焰探测器，洞内声光报警器等。</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3</w:t>
      </w:r>
      <w:r>
        <w:rPr>
          <w:rFonts w:hint="eastAsia" w:ascii="宋体" w:hAnsi="宋体" w:cs="宋体"/>
          <w:b/>
          <w:kern w:val="0"/>
          <w:sz w:val="24"/>
        </w:rPr>
        <w:t>：张涿高速公路2023年北龙门、南峪、李家铺隧道照明灯具更换工程（委托人：河北高速公路集团有限公司张涿分公司）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工程内容：对北龙门、南峪、李家铺隧道原有照明灯具，采用高光效节能型LED灯具点对点更换。增设无极调光控制系统，更换破损及损坏的电缆及配套设施。</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4</w:t>
      </w:r>
      <w:r>
        <w:rPr>
          <w:rFonts w:hint="eastAsia" w:ascii="宋体" w:hAnsi="宋体" w:cs="宋体"/>
          <w:b/>
          <w:kern w:val="0"/>
          <w:sz w:val="24"/>
        </w:rPr>
        <w:t>：张涿高速公路2023年松树口、都衙、南峪隧道火灾探测报警系统更新改造工程（委托人：河北高速公路集团有限公司张涿分公司）</w:t>
      </w:r>
    </w:p>
    <w:p>
      <w:pPr>
        <w:autoSpaceDE w:val="0"/>
        <w:autoSpaceDN w:val="0"/>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工程内容：松树口、都衙、南峪隧道火灾探测报警系统由感温光纤及光纤光栅探测改为双波长探测方式，包括拆除原有不可利旧设备，配置火灾报警控制器、双波长火焰探测器、声光报警器等。</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5</w:t>
      </w:r>
      <w:r>
        <w:rPr>
          <w:rFonts w:hint="eastAsia" w:ascii="宋体" w:hAnsi="宋体" w:cs="宋体"/>
          <w:b/>
          <w:kern w:val="0"/>
          <w:sz w:val="24"/>
        </w:rPr>
        <w:t>：张承高速张家口段2023年大华岭等三座隧道照明灯具更换工程（委托人：河北高速公路集团有限公司张承张家口分公司）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工程内容：对草帽山、东山、大华岭隧道原有照明灯具，采用高光效节能型LED灯具点对点更换；增设无极调光控制系统。</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6</w:t>
      </w:r>
      <w:r>
        <w:rPr>
          <w:rFonts w:hint="eastAsia" w:ascii="宋体" w:hAnsi="宋体" w:cs="宋体"/>
          <w:b/>
          <w:kern w:val="0"/>
          <w:sz w:val="24"/>
        </w:rPr>
        <w:t>：京沪分公司2023年高速公路信息发布系统提质优化工程（委托人：河北高速公路集团有限公司京沪分公司）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对京台高速K151+643等5处更换悬臂式可变信息标志，对K181+000等4处新增悬臂式可变信息标志，对青县收费站至廊沧互通、沧北收费站至廊沧互通全程监控电缆及供电设备和部分可变信息标志的供电电缆进行改造。</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7</w:t>
      </w:r>
      <w:r>
        <w:rPr>
          <w:rFonts w:hint="eastAsia" w:ascii="宋体" w:hAnsi="宋体" w:cs="宋体"/>
          <w:b/>
          <w:kern w:val="0"/>
          <w:sz w:val="24"/>
        </w:rPr>
        <w:t>：宣大高速公路2023年全程监控外场供电系统改造工程（委托人：河北高速公路集团有限公司宣大分公司）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对省界主线站(K269+383)至东城收费站（K215+814）范围的全程监控供电电缆更换以及升降压设备改造，新增路侧敷设铝合金电缆，现有的铜缆保留在原位置，作为备用电缆使用。配置外场降压设备，更换原风光互补系统的蓄电池组14套并对风机和太阳能板进行检修。</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8</w:t>
      </w:r>
      <w:r>
        <w:rPr>
          <w:rFonts w:hint="eastAsia" w:ascii="宋体" w:hAnsi="宋体" w:cs="宋体"/>
          <w:b/>
          <w:kern w:val="0"/>
          <w:sz w:val="24"/>
        </w:rPr>
        <w:t>：荣乌高速公路2023年水消防设施维修更换工程（委托人：河北高速公路集团有限公司荣乌分公司）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工程内容：更换驿马岭隧道、康家庄隧道、猫尔岩隧道消防电伴热系统。增设隧道电伴热监控系统并配置相关设施如温控器、水成膜泡沫灭火装置等。</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w:t>
      </w:r>
      <w:r>
        <w:rPr>
          <w:rFonts w:ascii="宋体" w:hAnsi="宋体" w:cs="宋体"/>
          <w:b/>
          <w:kern w:val="0"/>
          <w:sz w:val="24"/>
        </w:rPr>
        <w:t>9</w:t>
      </w:r>
      <w:r>
        <w:rPr>
          <w:rFonts w:hint="eastAsia" w:ascii="宋体" w:hAnsi="宋体" w:cs="宋体"/>
          <w:b/>
          <w:kern w:val="0"/>
          <w:sz w:val="24"/>
        </w:rPr>
        <w:t>：承秦高速秦皇岛段2023年槐尖山、朱杖子隧道照明灯具更换工程（委托人：河北高速公路集团有限公司承秦分公司）</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工程内容：对槐尖山、朱杖子隧道原有照明灯具，采用高光效节能型LED灯具点对点更换。增设无级调光控制系统，更换加强段支线电缆。</w:t>
      </w:r>
    </w:p>
    <w:p>
      <w:pPr>
        <w:autoSpaceDE w:val="0"/>
        <w:autoSpaceDN w:val="0"/>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子项目1</w:t>
      </w:r>
      <w:r>
        <w:rPr>
          <w:rFonts w:ascii="宋体" w:hAnsi="宋体" w:cs="宋体"/>
          <w:b/>
          <w:kern w:val="0"/>
          <w:sz w:val="24"/>
        </w:rPr>
        <w:t>0</w:t>
      </w:r>
      <w:r>
        <w:rPr>
          <w:rFonts w:hint="eastAsia" w:ascii="宋体" w:hAnsi="宋体" w:cs="宋体"/>
          <w:b/>
          <w:kern w:val="0"/>
          <w:sz w:val="24"/>
        </w:rPr>
        <w:t>：承秦高速公路秦皇岛段2023年隧道监控系统升级改造工程（委托人：河北高速公路集团有限公司承秦分公司）</w:t>
      </w:r>
    </w:p>
    <w:p>
      <w:pPr>
        <w:autoSpaceDE w:val="0"/>
        <w:autoSpaceDN w:val="0"/>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工程内容：(1)将隧道模拟摄像机更换为高清摄像机，共计339套。</w:t>
      </w:r>
    </w:p>
    <w:p>
      <w:pPr>
        <w:autoSpaceDE w:val="0"/>
        <w:autoSpaceDN w:val="0"/>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(2)更换茨榆山和抚宁北隧管站监控室LCD屏56块、存储设备等。</w:t>
      </w:r>
    </w:p>
    <w:p>
      <w:pPr>
        <w:autoSpaceDE w:val="0"/>
        <w:autoSpaceDN w:val="0"/>
        <w:adjustRightInd w:val="0"/>
        <w:snapToGrid w:val="0"/>
        <w:spacing w:line="360" w:lineRule="auto"/>
        <w:ind w:firstLine="480" w:firstLineChars="200"/>
        <w:jc w:val="left"/>
        <w:rPr>
          <w:rFonts w:ascii="宋体" w:hAnsi="宋体" w:cs="宋体"/>
          <w:b/>
          <w:kern w:val="0"/>
          <w:sz w:val="24"/>
        </w:rPr>
      </w:pPr>
      <w:r>
        <w:rPr>
          <w:rFonts w:hint="eastAsia" w:ascii="宋体" w:hAnsi="宋体" w:cs="宋体"/>
          <w:bCs/>
          <w:kern w:val="0"/>
          <w:sz w:val="24"/>
        </w:rPr>
        <w:t>(3)更换视频事件检测系统，更换隧道管理站三层以太网交换机接入至万兆环网进行视频传输。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4B66513"/>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2023-11-17T00:56:36Z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