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cs="宋体"/>
          <w:b/>
          <w:sz w:val="28"/>
          <w:szCs w:val="28"/>
        </w:rPr>
      </w:pPr>
      <w:r>
        <w:rPr>
          <w:rFonts w:hint="eastAsia" w:ascii="宋体" w:hAnsi="宋体" w:cs="宋体"/>
          <w:b/>
          <w:sz w:val="28"/>
          <w:szCs w:val="28"/>
        </w:rPr>
        <w:t>附件1：资格审查条件</w:t>
      </w:r>
    </w:p>
    <w:p>
      <w:pPr>
        <w:rPr>
          <w:rFonts w:hint="eastAsia" w:ascii="宋体" w:hAnsi="宋体" w:cs="宋体"/>
          <w:b/>
          <w:sz w:val="28"/>
          <w:szCs w:val="28"/>
        </w:rPr>
      </w:pPr>
    </w:p>
    <w:p>
      <w:pPr>
        <w:jc w:val="center"/>
        <w:rPr>
          <w:rFonts w:ascii="宋体" w:hAnsi="宋体" w:cs="宋体"/>
          <w:b/>
          <w:sz w:val="24"/>
        </w:rPr>
      </w:pPr>
      <w:r>
        <w:rPr>
          <w:rFonts w:hint="eastAsia" w:ascii="宋体" w:hAnsi="宋体" w:cs="宋体"/>
          <w:b/>
          <w:sz w:val="24"/>
        </w:rPr>
        <w:t>附录1 资格审查条件（资质最低要求）</w:t>
      </w:r>
    </w:p>
    <w:tbl>
      <w:tblPr>
        <w:tblStyle w:val="5"/>
        <w:tblpPr w:leftFromText="181" w:rightFromText="181" w:vertAnchor="text" w:horzAnchor="margin" w:tblpXSpec="center" w:tblpY="30"/>
        <w:tblW w:w="938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28" w:type="dxa"/>
          <w:bottom w:w="28" w:type="dxa"/>
          <w:right w:w="28" w:type="dxa"/>
        </w:tblCellMar>
      </w:tblPr>
      <w:tblGrid>
        <w:gridCol w:w="938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542" w:hRule="atLeast"/>
          <w:tblHeader/>
        </w:trPr>
        <w:tc>
          <w:tcPr>
            <w:tcW w:w="9384" w:type="dxa"/>
            <w:noWrap w:val="0"/>
            <w:vAlign w:val="center"/>
          </w:tcPr>
          <w:p>
            <w:pPr>
              <w:adjustRightInd w:val="0"/>
              <w:snapToGrid w:val="0"/>
              <w:jc w:val="center"/>
              <w:rPr>
                <w:rFonts w:hint="eastAsia" w:ascii="宋体" w:hAnsi="宋体" w:cs="宋体"/>
                <w:b/>
                <w:bCs/>
                <w:szCs w:val="21"/>
              </w:rPr>
            </w:pPr>
            <w:r>
              <w:rPr>
                <w:rFonts w:hint="eastAsia" w:ascii="宋体" w:hAnsi="宋体" w:cs="宋体"/>
                <w:b/>
                <w:bCs/>
                <w:szCs w:val="21"/>
              </w:rPr>
              <w:t>资质要求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201" w:hRule="atLeast"/>
        </w:trPr>
        <w:tc>
          <w:tcPr>
            <w:tcW w:w="9384" w:type="dxa"/>
            <w:noWrap w:val="0"/>
            <w:vAlign w:val="center"/>
          </w:tcPr>
          <w:p>
            <w:pPr>
              <w:spacing w:line="360" w:lineRule="auto"/>
              <w:ind w:firstLine="420" w:firstLineChars="200"/>
              <w:rPr>
                <w:rFonts w:hint="eastAsia" w:ascii="宋体" w:hAnsi="宋体" w:cs="宋体"/>
              </w:rPr>
            </w:pPr>
            <w:r>
              <w:rPr>
                <w:rFonts w:hint="eastAsia" w:ascii="宋体" w:hAnsi="宋体" w:cs="宋体"/>
              </w:rPr>
              <w:t>投标人应为在中华人民共和国境内注册，能够独立承担民事责任，有所投设备供应能力的独立法人组织。本次招标接受经销商投标。</w:t>
            </w:r>
          </w:p>
        </w:tc>
      </w:tr>
    </w:tbl>
    <w:p>
      <w:pPr>
        <w:jc w:val="center"/>
        <w:rPr>
          <w:rFonts w:hint="eastAsia" w:ascii="宋体" w:hAnsi="宋体" w:cs="宋体"/>
          <w:b/>
          <w:sz w:val="24"/>
        </w:rPr>
      </w:pPr>
    </w:p>
    <w:p>
      <w:pPr>
        <w:jc w:val="center"/>
        <w:rPr>
          <w:rFonts w:hint="eastAsia" w:ascii="宋体" w:hAnsi="宋体" w:cs="宋体"/>
          <w:b/>
          <w:sz w:val="24"/>
        </w:rPr>
      </w:pPr>
    </w:p>
    <w:p>
      <w:pPr>
        <w:jc w:val="center"/>
        <w:rPr>
          <w:rFonts w:hint="eastAsia" w:ascii="宋体" w:hAnsi="宋体" w:cs="宋体"/>
        </w:rPr>
      </w:pPr>
      <w:r>
        <w:rPr>
          <w:rFonts w:hint="eastAsia" w:ascii="宋体" w:hAnsi="宋体" w:cs="宋体"/>
          <w:b/>
          <w:sz w:val="24"/>
        </w:rPr>
        <w:t xml:space="preserve">附录2 </w:t>
      </w:r>
      <w:r>
        <w:rPr>
          <w:rFonts w:ascii="宋体" w:hAnsi="宋体" w:cs="宋体"/>
          <w:b/>
          <w:sz w:val="24"/>
        </w:rPr>
        <w:t xml:space="preserve"> </w:t>
      </w:r>
      <w:r>
        <w:rPr>
          <w:rFonts w:hint="eastAsia" w:ascii="宋体" w:hAnsi="宋体" w:cs="宋体"/>
          <w:b/>
          <w:sz w:val="24"/>
        </w:rPr>
        <w:t>资格审查条件（信誉最低要求）</w:t>
      </w:r>
    </w:p>
    <w:tbl>
      <w:tblPr>
        <w:tblStyle w:val="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36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4" w:hRule="atLeast"/>
          <w:jc w:val="center"/>
        </w:trPr>
        <w:tc>
          <w:tcPr>
            <w:tcW w:w="9368" w:type="dxa"/>
            <w:noWrap w:val="0"/>
            <w:vAlign w:val="center"/>
          </w:tcPr>
          <w:p>
            <w:pPr>
              <w:adjustRightInd w:val="0"/>
              <w:snapToGrid w:val="0"/>
              <w:jc w:val="center"/>
              <w:rPr>
                <w:rFonts w:hint="eastAsia" w:ascii="宋体" w:hAnsi="宋体" w:cs="宋体"/>
                <w:b/>
                <w:szCs w:val="21"/>
              </w:rPr>
            </w:pPr>
            <w:r>
              <w:rPr>
                <w:rFonts w:hint="eastAsia" w:ascii="宋体" w:hAnsi="宋体" w:cs="宋体"/>
                <w:b/>
                <w:szCs w:val="21"/>
              </w:rPr>
              <w:t>信誉要求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260" w:hRule="atLeast"/>
          <w:jc w:val="center"/>
        </w:trPr>
        <w:tc>
          <w:tcPr>
            <w:tcW w:w="9368" w:type="dxa"/>
            <w:noWrap w:val="0"/>
            <w:vAlign w:val="center"/>
          </w:tcPr>
          <w:p>
            <w:pPr>
              <w:spacing w:line="360" w:lineRule="auto"/>
              <w:ind w:firstLine="420" w:firstLineChars="200"/>
              <w:rPr>
                <w:rFonts w:hint="default" w:ascii="宋体" w:hAnsi="宋体" w:eastAsia="宋体" w:cs="宋体"/>
                <w:lang w:val="en-US" w:eastAsia="zh-CN"/>
              </w:rPr>
            </w:pPr>
            <w:r>
              <w:rPr>
                <w:rFonts w:hint="eastAsia" w:ascii="宋体" w:hAnsi="宋体" w:cs="宋体"/>
              </w:rPr>
              <w:t>投标人在过去1年中（2022年</w:t>
            </w:r>
            <w:r>
              <w:rPr>
                <w:rFonts w:hint="eastAsia" w:ascii="宋体" w:hAnsi="宋体" w:cs="宋体"/>
                <w:lang w:val="en-US" w:eastAsia="zh-CN"/>
              </w:rPr>
              <w:t>12</w:t>
            </w:r>
            <w:r>
              <w:rPr>
                <w:rFonts w:hint="eastAsia" w:ascii="宋体" w:hAnsi="宋体" w:cs="宋体"/>
              </w:rPr>
              <w:t>月1日</w:t>
            </w:r>
            <w:r>
              <w:rPr>
                <w:rFonts w:hint="eastAsia" w:ascii="宋体" w:hAnsi="宋体" w:cs="宋体"/>
                <w:szCs w:val="21"/>
                <w:shd w:val="clear" w:color="auto" w:fill="FFFFFF"/>
              </w:rPr>
              <w:t>至今</w:t>
            </w:r>
            <w:r>
              <w:rPr>
                <w:rFonts w:hint="eastAsia" w:ascii="宋体" w:hAnsi="宋体" w:cs="宋体"/>
              </w:rPr>
              <w:t>）不曾在车辆供货合同中违约而被驱逐或因投标人自身的原因而使车辆供货合同被解除。</w:t>
            </w:r>
          </w:p>
        </w:tc>
      </w:tr>
    </w:tbl>
    <w:p>
      <w:pPr>
        <w:rPr>
          <w:rFonts w:ascii="宋体" w:hAnsi="宋体" w:cs="宋体"/>
          <w:b/>
          <w:sz w:val="28"/>
          <w:szCs w:val="28"/>
        </w:rPr>
      </w:pPr>
      <w:r>
        <w:rPr>
          <w:rFonts w:hint="eastAsia" w:ascii="宋体" w:hAnsi="宋体" w:cs="宋体"/>
          <w:b/>
          <w:sz w:val="28"/>
          <w:szCs w:val="28"/>
        </w:rPr>
        <w:br w:type="page"/>
      </w:r>
      <w:r>
        <w:rPr>
          <w:rFonts w:hint="eastAsia" w:ascii="宋体" w:hAnsi="宋体" w:cs="宋体"/>
          <w:b/>
          <w:sz w:val="28"/>
          <w:szCs w:val="28"/>
        </w:rPr>
        <w:t>附件</w:t>
      </w:r>
      <w:r>
        <w:rPr>
          <w:rFonts w:ascii="宋体" w:hAnsi="宋体" w:cs="宋体"/>
          <w:b/>
          <w:sz w:val="28"/>
          <w:szCs w:val="28"/>
        </w:rPr>
        <w:t>2</w:t>
      </w:r>
      <w:r>
        <w:rPr>
          <w:rFonts w:hint="eastAsia" w:ascii="宋体" w:hAnsi="宋体" w:cs="宋体"/>
          <w:b/>
          <w:sz w:val="28"/>
          <w:szCs w:val="28"/>
        </w:rPr>
        <w:t>：评标办法</w:t>
      </w:r>
    </w:p>
    <w:p>
      <w:pPr>
        <w:rPr>
          <w:rFonts w:hint="eastAsia" w:ascii="宋体" w:hAnsi="宋体" w:cs="宋体"/>
          <w:b/>
          <w:sz w:val="28"/>
          <w:szCs w:val="28"/>
        </w:rPr>
      </w:pPr>
    </w:p>
    <w:p>
      <w:pPr>
        <w:pStyle w:val="2"/>
        <w:wordWrap w:val="0"/>
        <w:spacing w:before="0" w:beforeLines="0" w:line="360" w:lineRule="auto"/>
        <w:rPr>
          <w:rFonts w:hint="eastAsia" w:ascii="宋体" w:hAnsi="宋体" w:cs="宋体"/>
          <w:spacing w:val="1"/>
          <w:kern w:val="0"/>
          <w:sz w:val="28"/>
          <w:szCs w:val="28"/>
        </w:rPr>
      </w:pPr>
      <w:r>
        <w:rPr>
          <w:rFonts w:hint="eastAsia" w:ascii="宋体" w:hAnsi="宋体" w:cs="宋体"/>
          <w:spacing w:val="2"/>
          <w:kern w:val="0"/>
          <w:sz w:val="24"/>
          <w:szCs w:val="24"/>
        </w:rPr>
        <w:t>评标办法前附表</w:t>
      </w:r>
    </w:p>
    <w:tbl>
      <w:tblPr>
        <w:tblStyle w:val="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23"/>
        <w:gridCol w:w="1093"/>
        <w:gridCol w:w="2088"/>
        <w:gridCol w:w="528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31" w:type="pct"/>
            <w:gridSpan w:val="2"/>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b/>
                <w:szCs w:val="21"/>
              </w:rPr>
            </w:pPr>
            <w:r>
              <w:rPr>
                <w:rFonts w:hint="eastAsia" w:ascii="宋体" w:hAnsi="宋体" w:cs="宋体"/>
                <w:b/>
                <w:szCs w:val="21"/>
              </w:rPr>
              <w:t>条款号</w:t>
            </w: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b/>
                <w:szCs w:val="21"/>
              </w:rPr>
            </w:pPr>
            <w:r>
              <w:rPr>
                <w:rFonts w:hint="eastAsia" w:ascii="宋体" w:hAnsi="宋体" w:cs="宋体"/>
                <w:b/>
                <w:szCs w:val="21"/>
              </w:rPr>
              <w:t>评审因素</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b/>
                <w:szCs w:val="21"/>
              </w:rPr>
            </w:pPr>
            <w:r>
              <w:rPr>
                <w:rFonts w:hint="eastAsia" w:ascii="宋体" w:hAnsi="宋体" w:cs="宋体"/>
                <w:b/>
                <w:szCs w:val="21"/>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1</w:t>
            </w:r>
          </w:p>
        </w:tc>
        <w:tc>
          <w:tcPr>
            <w:tcW w:w="587" w:type="pct"/>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评标方法</w:t>
            </w: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中标候选人排序方法</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cs="宋体"/>
                <w:szCs w:val="21"/>
              </w:rPr>
            </w:pPr>
            <w:r>
              <w:rPr>
                <w:rFonts w:hint="eastAsia" w:ascii="宋体" w:hAnsi="宋体" w:cs="宋体"/>
                <w:szCs w:val="21"/>
              </w:rPr>
              <w:t>本次评标采用综合评估法。评标委员会对满足招标文件实质性要求的投标文件，按照本评标办法第2.2款规定的评分标准进行打分，并按得分由高到低顺序推荐1-3名中标候选人。综合评分相等时，评标委员会依次按照以下优先顺序推荐中标候选人：</w:t>
            </w:r>
          </w:p>
          <w:p>
            <w:pPr>
              <w:spacing w:line="360" w:lineRule="exact"/>
              <w:jc w:val="left"/>
              <w:rPr>
                <w:rFonts w:hint="eastAsia" w:ascii="宋体" w:hAnsi="宋体" w:cs="宋体"/>
                <w:szCs w:val="21"/>
              </w:rPr>
            </w:pPr>
            <w:r>
              <w:rPr>
                <w:rFonts w:hint="eastAsia" w:ascii="宋体" w:hAnsi="宋体" w:cs="宋体"/>
                <w:szCs w:val="21"/>
              </w:rPr>
              <w:t>（1）评标价低的投标人优先；</w:t>
            </w:r>
          </w:p>
          <w:p>
            <w:pPr>
              <w:spacing w:line="360" w:lineRule="exact"/>
              <w:jc w:val="left"/>
              <w:rPr>
                <w:rFonts w:hint="eastAsia" w:ascii="宋体" w:hAnsi="宋体" w:cs="宋体"/>
                <w:szCs w:val="21"/>
              </w:rPr>
            </w:pPr>
            <w:r>
              <w:rPr>
                <w:rFonts w:hint="eastAsia" w:ascii="宋体" w:hAnsi="宋体" w:cs="宋体"/>
                <w:szCs w:val="21"/>
              </w:rPr>
              <w:t>（2）</w:t>
            </w:r>
            <w:r>
              <w:rPr>
                <w:rFonts w:ascii="宋体" w:hAnsi="宋体" w:cs="宋体"/>
                <w:szCs w:val="21"/>
              </w:rPr>
              <w:t>技术部分</w:t>
            </w:r>
            <w:r>
              <w:rPr>
                <w:rFonts w:hint="eastAsia" w:ascii="宋体" w:hAnsi="宋体" w:cs="宋体"/>
                <w:szCs w:val="21"/>
              </w:rPr>
              <w:t>供货方案得分高的优先。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restart"/>
            <w:tcBorders>
              <w:top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2.1.1</w:t>
            </w:r>
          </w:p>
        </w:tc>
        <w:tc>
          <w:tcPr>
            <w:tcW w:w="587" w:type="pct"/>
            <w:vMerge w:val="restart"/>
            <w:tcBorders>
              <w:top w:val="single" w:color="auto" w:sz="4" w:space="0"/>
              <w:right w:val="single" w:color="auto" w:sz="4" w:space="0"/>
            </w:tcBorders>
            <w:noWrap w:val="0"/>
            <w:vAlign w:val="center"/>
          </w:tcPr>
          <w:p>
            <w:pPr>
              <w:spacing w:line="0" w:lineRule="atLeast"/>
              <w:ind w:left="-109" w:leftChars="-52"/>
              <w:jc w:val="center"/>
              <w:rPr>
                <w:rFonts w:hint="eastAsia" w:ascii="宋体" w:hAnsi="宋体" w:cs="宋体"/>
                <w:szCs w:val="21"/>
              </w:rPr>
            </w:pPr>
            <w:r>
              <w:rPr>
                <w:rFonts w:hint="eastAsia" w:ascii="宋体" w:hAnsi="宋体" w:cs="宋体"/>
                <w:szCs w:val="21"/>
              </w:rPr>
              <w:t>形式评审标准</w:t>
            </w: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投标人名称</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宋体" w:hAnsi="宋体" w:cs="宋体"/>
                <w:szCs w:val="21"/>
              </w:rPr>
            </w:pPr>
            <w:r>
              <w:rPr>
                <w:rFonts w:hint="eastAsia" w:ascii="宋体" w:hAnsi="宋体" w:cs="宋体"/>
                <w:szCs w:val="21"/>
              </w:rPr>
              <w:t>与营业执照一致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43" w:type="pct"/>
            <w:vMerge w:val="continue"/>
            <w:tcBorders>
              <w:right w:val="single" w:color="auto" w:sz="4" w:space="0"/>
            </w:tcBorders>
            <w:noWrap w:val="0"/>
            <w:vAlign w:val="center"/>
          </w:tcPr>
          <w:p>
            <w:pPr>
              <w:spacing w:line="0" w:lineRule="atLeast"/>
              <w:jc w:val="center"/>
              <w:rPr>
                <w:rFonts w:hint="eastAsia" w:ascii="宋体" w:hAnsi="宋体" w:cs="宋体"/>
                <w:szCs w:val="21"/>
              </w:rPr>
            </w:pPr>
          </w:p>
        </w:tc>
        <w:tc>
          <w:tcPr>
            <w:tcW w:w="587" w:type="pct"/>
            <w:vMerge w:val="continue"/>
            <w:tcBorders>
              <w:right w:val="single" w:color="auto" w:sz="4" w:space="0"/>
            </w:tcBorders>
            <w:noWrap w:val="0"/>
            <w:vAlign w:val="center"/>
          </w:tcPr>
          <w:p>
            <w:pPr>
              <w:spacing w:line="0" w:lineRule="atLeast"/>
              <w:ind w:left="-109" w:leftChars="-52" w:right="-111" w:rightChars="-53" w:firstLine="1"/>
              <w:jc w:val="center"/>
              <w:rPr>
                <w:rFonts w:hint="eastAsia" w:ascii="宋体" w:hAnsi="宋体" w:cs="宋体"/>
                <w:szCs w:val="21"/>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签字盖章</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ind w:left="-2" w:leftChars="-1" w:right="-107" w:rightChars="-51" w:firstLine="4" w:firstLineChars="2"/>
              <w:rPr>
                <w:rFonts w:hint="eastAsia" w:ascii="宋体" w:hAnsi="宋体" w:cs="宋体"/>
                <w:szCs w:val="21"/>
              </w:rPr>
            </w:pPr>
            <w:r>
              <w:rPr>
                <w:rFonts w:hint="eastAsia" w:ascii="宋体" w:hAnsi="宋体" w:cs="宋体"/>
                <w:szCs w:val="21"/>
              </w:rPr>
              <w:t>投标文件上法定代表人或其委托代理人的签字、投标人的单位盖章齐全，符合招标文件规定。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continue"/>
            <w:tcBorders>
              <w:right w:val="single" w:color="auto" w:sz="4" w:space="0"/>
            </w:tcBorders>
            <w:noWrap w:val="0"/>
            <w:vAlign w:val="center"/>
          </w:tcPr>
          <w:p>
            <w:pPr>
              <w:spacing w:line="0" w:lineRule="atLeast"/>
              <w:jc w:val="center"/>
              <w:rPr>
                <w:rFonts w:hint="eastAsia" w:ascii="宋体" w:hAnsi="宋体" w:cs="宋体"/>
                <w:szCs w:val="21"/>
              </w:rPr>
            </w:pPr>
          </w:p>
        </w:tc>
        <w:tc>
          <w:tcPr>
            <w:tcW w:w="587" w:type="pct"/>
            <w:vMerge w:val="continue"/>
            <w:tcBorders>
              <w:right w:val="single" w:color="auto" w:sz="4" w:space="0"/>
            </w:tcBorders>
            <w:noWrap w:val="0"/>
            <w:vAlign w:val="center"/>
          </w:tcPr>
          <w:p>
            <w:pPr>
              <w:spacing w:line="0" w:lineRule="atLeast"/>
              <w:ind w:left="-109" w:leftChars="-52" w:right="-111" w:rightChars="-53" w:firstLine="1"/>
              <w:jc w:val="center"/>
              <w:rPr>
                <w:rFonts w:hint="eastAsia" w:ascii="宋体" w:hAnsi="宋体" w:cs="宋体"/>
                <w:szCs w:val="21"/>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投标文件格式</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宋体" w:hAnsi="宋体" w:cs="宋体"/>
                <w:szCs w:val="21"/>
              </w:rPr>
            </w:pPr>
            <w:r>
              <w:rPr>
                <w:rFonts w:hint="eastAsia" w:ascii="宋体" w:hAnsi="宋体" w:cs="宋体"/>
                <w:szCs w:val="21"/>
              </w:rPr>
              <w:t>符合第六章“投标文件格式”的规定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continue"/>
            <w:tcBorders>
              <w:right w:val="single" w:color="auto" w:sz="4" w:space="0"/>
            </w:tcBorders>
            <w:noWrap w:val="0"/>
            <w:vAlign w:val="center"/>
          </w:tcPr>
          <w:p>
            <w:pPr>
              <w:spacing w:line="0" w:lineRule="atLeast"/>
              <w:jc w:val="center"/>
              <w:rPr>
                <w:rFonts w:hint="eastAsia" w:ascii="宋体" w:hAnsi="宋体" w:cs="宋体"/>
                <w:szCs w:val="21"/>
              </w:rPr>
            </w:pPr>
          </w:p>
        </w:tc>
        <w:tc>
          <w:tcPr>
            <w:tcW w:w="587" w:type="pct"/>
            <w:vMerge w:val="continue"/>
            <w:tcBorders>
              <w:right w:val="single" w:color="auto" w:sz="4" w:space="0"/>
            </w:tcBorders>
            <w:noWrap w:val="0"/>
            <w:vAlign w:val="center"/>
          </w:tcPr>
          <w:p>
            <w:pPr>
              <w:spacing w:line="0" w:lineRule="atLeast"/>
              <w:ind w:right="-111" w:rightChars="-53"/>
              <w:rPr>
                <w:rFonts w:hint="eastAsia" w:ascii="宋体" w:hAnsi="宋体" w:cs="宋体"/>
                <w:szCs w:val="21"/>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联合体投标人</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rFonts w:hint="eastAsia" w:ascii="宋体" w:hAnsi="宋体" w:cs="宋体"/>
                <w:szCs w:val="21"/>
              </w:rPr>
            </w:pPr>
            <w:r>
              <w:rPr>
                <w:rFonts w:hint="eastAsia" w:ascii="宋体" w:hAnsi="宋体" w:cs="宋体"/>
                <w:szCs w:val="21"/>
              </w:rPr>
              <w:t>投标人未以联合体形式投标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continue"/>
            <w:tcBorders>
              <w:right w:val="single" w:color="auto" w:sz="4" w:space="0"/>
            </w:tcBorders>
            <w:noWrap w:val="0"/>
            <w:vAlign w:val="center"/>
          </w:tcPr>
          <w:p>
            <w:pPr>
              <w:spacing w:line="0" w:lineRule="atLeast"/>
              <w:jc w:val="center"/>
              <w:rPr>
                <w:rFonts w:hint="eastAsia" w:ascii="宋体" w:hAnsi="宋体" w:cs="宋体"/>
                <w:szCs w:val="21"/>
              </w:rPr>
            </w:pPr>
          </w:p>
        </w:tc>
        <w:tc>
          <w:tcPr>
            <w:tcW w:w="587" w:type="pct"/>
            <w:vMerge w:val="continue"/>
            <w:tcBorders>
              <w:right w:val="single" w:color="auto" w:sz="4" w:space="0"/>
            </w:tcBorders>
            <w:noWrap w:val="0"/>
            <w:vAlign w:val="center"/>
          </w:tcPr>
          <w:p>
            <w:pPr>
              <w:spacing w:line="0" w:lineRule="atLeast"/>
              <w:ind w:right="-111" w:rightChars="-53"/>
              <w:rPr>
                <w:rFonts w:hint="eastAsia" w:ascii="宋体" w:hAnsi="宋体" w:cs="宋体"/>
                <w:szCs w:val="21"/>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lang w:bidi="ar"/>
              </w:rPr>
              <w:t>备选投标方案</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left"/>
              <w:rPr>
                <w:rFonts w:hint="eastAsia" w:ascii="宋体" w:hAnsi="宋体" w:cs="宋体"/>
                <w:szCs w:val="21"/>
              </w:rPr>
            </w:pPr>
            <w:r>
              <w:rPr>
                <w:rFonts w:hint="eastAsia" w:ascii="宋体" w:hAnsi="宋体" w:cs="宋体"/>
                <w:szCs w:val="21"/>
                <w:lang w:bidi="ar"/>
              </w:rPr>
              <w:t>投标人未提交备选投标方案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43" w:type="pct"/>
            <w:vMerge w:val="restart"/>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2.1.2</w:t>
            </w:r>
          </w:p>
        </w:tc>
        <w:tc>
          <w:tcPr>
            <w:tcW w:w="587" w:type="pct"/>
            <w:vMerge w:val="restart"/>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资格评审标准</w:t>
            </w: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szCs w:val="21"/>
              </w:rPr>
            </w:pPr>
            <w:r>
              <w:rPr>
                <w:rFonts w:hint="eastAsia" w:ascii="宋体" w:hAnsi="宋体" w:cs="宋体"/>
                <w:szCs w:val="21"/>
              </w:rPr>
              <w:t>营业执照和组织机构代码证</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宋体" w:hAnsi="宋体" w:cs="宋体"/>
                <w:szCs w:val="21"/>
              </w:rPr>
            </w:pPr>
            <w:r>
              <w:rPr>
                <w:rFonts w:hint="eastAsia" w:ascii="宋体" w:hAnsi="宋体" w:cs="宋体"/>
                <w:szCs w:val="21"/>
              </w:rPr>
              <w:t>符合第二章“投标人须知”第3.5.1项规定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43"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p>
        </w:tc>
        <w:tc>
          <w:tcPr>
            <w:tcW w:w="587"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资格要求</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宋体" w:hAnsi="宋体" w:cs="宋体"/>
                <w:szCs w:val="21"/>
              </w:rPr>
            </w:pPr>
            <w:r>
              <w:rPr>
                <w:rFonts w:hint="eastAsia" w:ascii="宋体" w:hAnsi="宋体" w:cs="宋体"/>
                <w:szCs w:val="21"/>
              </w:rPr>
              <w:t>符合第二章“投标人须知”第 1.4.1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43"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p>
        </w:tc>
        <w:tc>
          <w:tcPr>
            <w:tcW w:w="587"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信誉要求</w:t>
            </w:r>
            <w:bookmarkStart w:id="0" w:name="_GoBack"/>
            <w:bookmarkEnd w:id="0"/>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254" w:lineRule="exact"/>
              <w:jc w:val="left"/>
              <w:rPr>
                <w:rFonts w:hint="eastAsia" w:ascii="宋体" w:hAnsi="宋体" w:cs="宋体"/>
                <w:szCs w:val="21"/>
              </w:rPr>
            </w:pPr>
            <w:r>
              <w:rPr>
                <w:rFonts w:hint="eastAsia" w:ascii="宋体" w:hAnsi="宋体" w:cs="宋体"/>
                <w:szCs w:val="21"/>
              </w:rPr>
              <w:t>符合第二章“投标人须知”第 1.4.1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43"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p>
        </w:tc>
        <w:tc>
          <w:tcPr>
            <w:tcW w:w="587"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rPr>
              <w:t>其他要求</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254" w:lineRule="exact"/>
              <w:jc w:val="left"/>
              <w:rPr>
                <w:rFonts w:hint="eastAsia" w:ascii="宋体" w:hAnsi="宋体" w:cs="宋体"/>
                <w:szCs w:val="21"/>
              </w:rPr>
            </w:pPr>
            <w:r>
              <w:rPr>
                <w:rFonts w:hint="eastAsia" w:ascii="宋体" w:hAnsi="宋体" w:cs="宋体"/>
              </w:rPr>
              <w:t>符合第二章</w:t>
            </w:r>
            <w:r>
              <w:rPr>
                <w:rFonts w:hint="eastAsia" w:ascii="宋体" w:hAnsi="宋体" w:cs="宋体"/>
                <w:i/>
              </w:rPr>
              <w:t>“</w:t>
            </w:r>
            <w:r>
              <w:rPr>
                <w:rFonts w:hint="eastAsia" w:ascii="宋体" w:hAnsi="宋体" w:cs="宋体"/>
              </w:rPr>
              <w:t>投标人须知</w:t>
            </w:r>
            <w:r>
              <w:rPr>
                <w:rFonts w:hint="eastAsia" w:ascii="宋体" w:hAnsi="宋体" w:cs="宋体"/>
                <w:i/>
              </w:rPr>
              <w:t>”</w:t>
            </w:r>
            <w:r>
              <w:rPr>
                <w:rFonts w:hint="eastAsia" w:ascii="宋体" w:hAnsi="宋体" w:cs="宋体"/>
              </w:rPr>
              <w:t>第</w:t>
            </w:r>
            <w:r>
              <w:rPr>
                <w:rFonts w:hint="eastAsia" w:ascii="宋体" w:hAnsi="宋体" w:cs="宋体"/>
                <w:spacing w:val="-78"/>
              </w:rPr>
              <w:t xml:space="preserve"> </w:t>
            </w:r>
            <w:r>
              <w:rPr>
                <w:rFonts w:hint="eastAsia" w:ascii="宋体" w:hAnsi="宋体" w:cs="宋体"/>
              </w:rPr>
              <w:t>1.4.1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43"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p>
        </w:tc>
        <w:tc>
          <w:tcPr>
            <w:tcW w:w="587"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rPr>
            </w:pPr>
            <w:r>
              <w:rPr>
                <w:rFonts w:hint="eastAsia" w:ascii="宋体" w:hAnsi="宋体" w:cs="宋体"/>
                <w:szCs w:val="21"/>
              </w:rPr>
              <w:t>不存在禁止投标的情形</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254" w:lineRule="exact"/>
              <w:jc w:val="left"/>
              <w:rPr>
                <w:rFonts w:hint="eastAsia" w:ascii="宋体" w:hAnsi="宋体" w:cs="宋体"/>
              </w:rPr>
            </w:pPr>
            <w:r>
              <w:rPr>
                <w:rFonts w:hint="eastAsia" w:ascii="宋体" w:hAnsi="宋体" w:cs="宋体"/>
                <w:szCs w:val="21"/>
              </w:rPr>
              <w:t>不存在第二章“投标人须知”第1.4.3项规定的任何一种情形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restart"/>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2.1.3</w:t>
            </w:r>
          </w:p>
        </w:tc>
        <w:tc>
          <w:tcPr>
            <w:tcW w:w="587" w:type="pct"/>
            <w:vMerge w:val="restart"/>
            <w:tcBorders>
              <w:top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响应性评审标准</w:t>
            </w: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投标报价</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宋体" w:hAnsi="宋体" w:cs="宋体"/>
                <w:szCs w:val="21"/>
              </w:rPr>
            </w:pPr>
            <w:r>
              <w:rPr>
                <w:rFonts w:hint="eastAsia" w:ascii="宋体" w:hAnsi="宋体" w:cs="宋体"/>
                <w:szCs w:val="21"/>
              </w:rPr>
              <w:t>符合第二章“投标人须知”第 3.2款规定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p>
        </w:tc>
        <w:tc>
          <w:tcPr>
            <w:tcW w:w="587" w:type="pct"/>
            <w:vMerge w:val="continue"/>
            <w:tcBorders>
              <w:top w:val="single" w:color="auto" w:sz="4" w:space="0"/>
              <w:right w:val="single" w:color="auto" w:sz="4" w:space="0"/>
            </w:tcBorders>
            <w:noWrap w:val="0"/>
            <w:vAlign w:val="center"/>
          </w:tcPr>
          <w:p>
            <w:pPr>
              <w:spacing w:line="0" w:lineRule="atLeast"/>
              <w:jc w:val="center"/>
              <w:rPr>
                <w:rFonts w:hint="eastAsia" w:ascii="宋体" w:hAnsi="宋体" w:cs="宋体"/>
                <w:szCs w:val="21"/>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投标内容</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宋体" w:hAnsi="宋体" w:cs="宋体"/>
                <w:szCs w:val="21"/>
              </w:rPr>
            </w:pPr>
            <w:r>
              <w:rPr>
                <w:rFonts w:hint="eastAsia" w:ascii="宋体" w:hAnsi="宋体" w:cs="宋体"/>
                <w:szCs w:val="21"/>
              </w:rPr>
              <w:t>符合第二章“投标人须知”第 1.3.1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p>
        </w:tc>
        <w:tc>
          <w:tcPr>
            <w:tcW w:w="587" w:type="pct"/>
            <w:vMerge w:val="continue"/>
            <w:tcBorders>
              <w:right w:val="single" w:color="auto" w:sz="4" w:space="0"/>
            </w:tcBorders>
            <w:noWrap w:val="0"/>
            <w:vAlign w:val="center"/>
          </w:tcPr>
          <w:p>
            <w:pPr>
              <w:spacing w:line="0" w:lineRule="atLeast"/>
              <w:jc w:val="center"/>
              <w:rPr>
                <w:rFonts w:hint="eastAsia" w:ascii="宋体" w:hAnsi="宋体" w:cs="宋体"/>
                <w:szCs w:val="21"/>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交货期</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宋体" w:hAnsi="宋体" w:cs="宋体"/>
                <w:szCs w:val="21"/>
              </w:rPr>
            </w:pPr>
            <w:r>
              <w:rPr>
                <w:rFonts w:hint="eastAsia" w:ascii="宋体" w:hAnsi="宋体" w:cs="宋体"/>
                <w:szCs w:val="21"/>
              </w:rPr>
              <w:t>符合第二章“投标人须知”第 1.3.2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p>
        </w:tc>
        <w:tc>
          <w:tcPr>
            <w:tcW w:w="587" w:type="pct"/>
            <w:vMerge w:val="continue"/>
            <w:tcBorders>
              <w:right w:val="single" w:color="auto" w:sz="4" w:space="0"/>
            </w:tcBorders>
            <w:noWrap w:val="0"/>
            <w:vAlign w:val="center"/>
          </w:tcPr>
          <w:p>
            <w:pPr>
              <w:spacing w:line="0" w:lineRule="atLeast"/>
              <w:jc w:val="center"/>
              <w:rPr>
                <w:rFonts w:hint="eastAsia" w:ascii="宋体" w:hAnsi="宋体" w:cs="宋体"/>
                <w:szCs w:val="21"/>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交货地点</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宋体" w:hAnsi="宋体" w:cs="宋体"/>
                <w:szCs w:val="21"/>
              </w:rPr>
            </w:pPr>
            <w:r>
              <w:rPr>
                <w:rFonts w:hint="eastAsia" w:ascii="宋体" w:hAnsi="宋体" w:cs="宋体"/>
                <w:szCs w:val="21"/>
              </w:rPr>
              <w:t>符合第二章“投标人须知”第 1.3.3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p>
        </w:tc>
        <w:tc>
          <w:tcPr>
            <w:tcW w:w="587" w:type="pct"/>
            <w:vMerge w:val="continue"/>
            <w:tcBorders>
              <w:right w:val="single" w:color="auto" w:sz="4" w:space="0"/>
            </w:tcBorders>
            <w:noWrap w:val="0"/>
            <w:vAlign w:val="center"/>
          </w:tcPr>
          <w:p>
            <w:pPr>
              <w:spacing w:line="0" w:lineRule="atLeast"/>
              <w:jc w:val="center"/>
              <w:rPr>
                <w:rFonts w:hint="eastAsia" w:ascii="宋体" w:hAnsi="宋体" w:cs="宋体"/>
                <w:szCs w:val="21"/>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质量要求</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宋体" w:hAnsi="宋体" w:cs="宋体"/>
                <w:szCs w:val="21"/>
              </w:rPr>
            </w:pPr>
            <w:r>
              <w:rPr>
                <w:rFonts w:hint="eastAsia" w:ascii="宋体" w:hAnsi="宋体" w:cs="宋体"/>
                <w:szCs w:val="21"/>
              </w:rPr>
              <w:t>符合第二章“投标人须知”第 1.3.4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p>
        </w:tc>
        <w:tc>
          <w:tcPr>
            <w:tcW w:w="587" w:type="pct"/>
            <w:vMerge w:val="continue"/>
            <w:tcBorders>
              <w:right w:val="single" w:color="auto" w:sz="4" w:space="0"/>
            </w:tcBorders>
            <w:noWrap w:val="0"/>
            <w:vAlign w:val="center"/>
          </w:tcPr>
          <w:p>
            <w:pPr>
              <w:spacing w:line="0" w:lineRule="atLeast"/>
              <w:jc w:val="center"/>
              <w:rPr>
                <w:rFonts w:hint="eastAsia" w:ascii="宋体" w:hAnsi="宋体" w:cs="宋体"/>
                <w:szCs w:val="21"/>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投标有效期</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宋体" w:hAnsi="宋体" w:cs="宋体"/>
                <w:szCs w:val="21"/>
              </w:rPr>
            </w:pPr>
            <w:r>
              <w:rPr>
                <w:rFonts w:hint="eastAsia" w:ascii="宋体" w:hAnsi="宋体" w:cs="宋体"/>
                <w:szCs w:val="21"/>
              </w:rPr>
              <w:t>符合第二章“投标人须知”第 3.3.1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p>
        </w:tc>
        <w:tc>
          <w:tcPr>
            <w:tcW w:w="587" w:type="pct"/>
            <w:vMerge w:val="continue"/>
            <w:tcBorders>
              <w:right w:val="single" w:color="auto" w:sz="4" w:space="0"/>
            </w:tcBorders>
            <w:noWrap w:val="0"/>
            <w:vAlign w:val="center"/>
          </w:tcPr>
          <w:p>
            <w:pPr>
              <w:spacing w:line="0" w:lineRule="atLeast"/>
              <w:jc w:val="center"/>
              <w:rPr>
                <w:rFonts w:hint="eastAsia" w:ascii="宋体" w:hAnsi="宋体" w:cs="宋体"/>
                <w:szCs w:val="21"/>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239" w:lineRule="exact"/>
              <w:jc w:val="center"/>
              <w:rPr>
                <w:rFonts w:hint="eastAsia" w:ascii="宋体" w:hAnsi="宋体" w:cs="宋体"/>
                <w:szCs w:val="21"/>
              </w:rPr>
            </w:pPr>
            <w:r>
              <w:rPr>
                <w:rFonts w:hint="eastAsia" w:ascii="宋体" w:hAnsi="宋体" w:cs="宋体"/>
                <w:szCs w:val="21"/>
              </w:rPr>
              <w:t>投标保证金</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ind w:left="80"/>
              <w:rPr>
                <w:rFonts w:hint="eastAsia" w:ascii="宋体" w:hAnsi="宋体" w:cs="宋体"/>
                <w:szCs w:val="21"/>
              </w:rPr>
            </w:pPr>
            <w:r>
              <w:rPr>
                <w:rFonts w:hint="eastAsia" w:ascii="宋体" w:hAnsi="宋体" w:cs="宋体"/>
                <w:szCs w:val="21"/>
              </w:rPr>
              <w:t>符合第二章“投标人须知”第 3.4.1项规定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p>
        </w:tc>
        <w:tc>
          <w:tcPr>
            <w:tcW w:w="587" w:type="pct"/>
            <w:vMerge w:val="continue"/>
            <w:tcBorders>
              <w:right w:val="single" w:color="auto" w:sz="4" w:space="0"/>
            </w:tcBorders>
            <w:noWrap w:val="0"/>
            <w:vAlign w:val="center"/>
          </w:tcPr>
          <w:p>
            <w:pPr>
              <w:spacing w:line="0" w:lineRule="atLeast"/>
              <w:jc w:val="center"/>
              <w:rPr>
                <w:rFonts w:hint="eastAsia" w:ascii="宋体" w:hAnsi="宋体" w:cs="宋体"/>
                <w:szCs w:val="21"/>
              </w:rPr>
            </w:pPr>
          </w:p>
        </w:tc>
        <w:tc>
          <w:tcPr>
            <w:tcW w:w="208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lang w:val="en-US" w:eastAsia="zh-CN"/>
              </w:rPr>
              <w:t>分包</w:t>
            </w:r>
          </w:p>
        </w:tc>
        <w:tc>
          <w:tcPr>
            <w:tcW w:w="5284" w:type="dxa"/>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宋体" w:hAnsi="宋体" w:cs="宋体"/>
                <w:szCs w:val="21"/>
              </w:rPr>
            </w:pPr>
            <w:r>
              <w:rPr>
                <w:rFonts w:hint="eastAsia" w:ascii="宋体" w:hAnsi="宋体" w:cs="宋体"/>
                <w:szCs w:val="21"/>
              </w:rPr>
              <w:t>符合第二章“投标人须知”第 1.</w:t>
            </w:r>
            <w:r>
              <w:rPr>
                <w:rFonts w:hint="eastAsia" w:ascii="宋体" w:hAnsi="宋体" w:cs="宋体"/>
                <w:szCs w:val="21"/>
                <w:lang w:val="en-US" w:eastAsia="zh-CN"/>
              </w:rPr>
              <w:t>10</w:t>
            </w: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 xml:space="preserve">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p>
        </w:tc>
        <w:tc>
          <w:tcPr>
            <w:tcW w:w="587" w:type="pct"/>
            <w:vMerge w:val="continue"/>
            <w:tcBorders>
              <w:right w:val="single" w:color="auto" w:sz="4" w:space="0"/>
            </w:tcBorders>
            <w:noWrap w:val="0"/>
            <w:vAlign w:val="center"/>
          </w:tcPr>
          <w:p>
            <w:pPr>
              <w:spacing w:line="0" w:lineRule="atLeast"/>
              <w:jc w:val="center"/>
              <w:rPr>
                <w:rFonts w:hint="eastAsia" w:ascii="宋体" w:hAnsi="宋体" w:cs="宋体"/>
                <w:szCs w:val="21"/>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权利义务</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宋体" w:hAnsi="宋体" w:cs="宋体"/>
                <w:szCs w:val="21"/>
              </w:rPr>
            </w:pPr>
            <w:r>
              <w:rPr>
                <w:rFonts w:hint="eastAsia" w:ascii="宋体" w:hAnsi="宋体" w:cs="宋体"/>
                <w:szCs w:val="21"/>
              </w:rPr>
              <w:t>符合第二章“投标人须知”第 1.11.1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p>
        </w:tc>
        <w:tc>
          <w:tcPr>
            <w:tcW w:w="587" w:type="pct"/>
            <w:vMerge w:val="continue"/>
            <w:tcBorders>
              <w:right w:val="single" w:color="auto" w:sz="4" w:space="0"/>
            </w:tcBorders>
            <w:noWrap w:val="0"/>
            <w:vAlign w:val="center"/>
          </w:tcPr>
          <w:p>
            <w:pPr>
              <w:spacing w:line="0" w:lineRule="atLeast"/>
              <w:jc w:val="center"/>
              <w:rPr>
                <w:rFonts w:hint="eastAsia" w:ascii="宋体" w:hAnsi="宋体" w:cs="宋体"/>
                <w:szCs w:val="21"/>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ind w:right="-40" w:rightChars="-19"/>
              <w:jc w:val="center"/>
              <w:rPr>
                <w:rFonts w:hint="eastAsia" w:ascii="宋体" w:hAnsi="宋体" w:cs="宋体"/>
                <w:szCs w:val="21"/>
              </w:rPr>
            </w:pPr>
            <w:r>
              <w:rPr>
                <w:rFonts w:hint="eastAsia" w:ascii="宋体" w:hAnsi="宋体" w:cs="宋体"/>
                <w:szCs w:val="21"/>
              </w:rPr>
              <w:t>投标设备及技术服务和质保期服务</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ind w:left="80"/>
              <w:jc w:val="left"/>
              <w:rPr>
                <w:rFonts w:hint="eastAsia" w:ascii="宋体" w:hAnsi="宋体" w:eastAsia="宋体" w:cs="宋体"/>
                <w:szCs w:val="21"/>
                <w:lang w:eastAsia="zh-CN"/>
              </w:rPr>
            </w:pPr>
            <w:r>
              <w:rPr>
                <w:rFonts w:hint="eastAsia" w:ascii="宋体" w:hAnsi="宋体" w:eastAsia="宋体" w:cs="宋体"/>
                <w:szCs w:val="21"/>
                <w:lang w:eastAsia="zh-CN"/>
              </w:rPr>
              <w:t>符合第二章“投标人须知”第 1.11.1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p>
        </w:tc>
        <w:tc>
          <w:tcPr>
            <w:tcW w:w="587" w:type="pct"/>
            <w:vMerge w:val="continue"/>
            <w:tcBorders>
              <w:right w:val="single" w:color="auto" w:sz="4" w:space="0"/>
            </w:tcBorders>
            <w:noWrap w:val="0"/>
            <w:vAlign w:val="center"/>
          </w:tcPr>
          <w:p>
            <w:pPr>
              <w:spacing w:line="0" w:lineRule="atLeast"/>
              <w:jc w:val="center"/>
              <w:rPr>
                <w:rFonts w:hint="eastAsia" w:ascii="宋体" w:hAnsi="宋体" w:cs="宋体"/>
                <w:szCs w:val="21"/>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技术支持资料</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ind w:left="80"/>
              <w:jc w:val="left"/>
              <w:rPr>
                <w:rFonts w:hint="eastAsia" w:ascii="宋体" w:hAnsi="宋体" w:cs="宋体"/>
                <w:szCs w:val="21"/>
              </w:rPr>
            </w:pPr>
            <w:r>
              <w:rPr>
                <w:rFonts w:hint="eastAsia" w:ascii="宋体" w:hAnsi="宋体" w:cs="宋体"/>
                <w:szCs w:val="21"/>
              </w:rPr>
              <w:t>符合第二章“投标人须知”第 1.11.3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31" w:type="pct"/>
            <w:gridSpan w:val="2"/>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b/>
                <w:szCs w:val="21"/>
              </w:rPr>
            </w:pPr>
            <w:r>
              <w:rPr>
                <w:rFonts w:hint="eastAsia" w:ascii="宋体" w:hAnsi="宋体" w:cs="宋体"/>
                <w:b/>
                <w:szCs w:val="21"/>
              </w:rPr>
              <w:t>条款号</w:t>
            </w: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条款内容</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b/>
                <w:szCs w:val="21"/>
              </w:rPr>
            </w:pPr>
            <w:r>
              <w:rPr>
                <w:rFonts w:hint="eastAsia" w:ascii="宋体" w:hAnsi="宋体" w:cs="宋体"/>
                <w:b/>
                <w:szCs w:val="21"/>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31" w:type="pct"/>
            <w:gridSpan w:val="2"/>
            <w:tcBorders>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2.2.1</w:t>
            </w: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分值构成</w:t>
            </w:r>
          </w:p>
          <w:p>
            <w:pPr>
              <w:spacing w:line="0" w:lineRule="atLeast"/>
              <w:jc w:val="center"/>
              <w:rPr>
                <w:rFonts w:hint="eastAsia" w:ascii="宋体" w:hAnsi="宋体" w:cs="宋体"/>
                <w:szCs w:val="21"/>
              </w:rPr>
            </w:pPr>
            <w:r>
              <w:rPr>
                <w:rFonts w:hint="eastAsia" w:ascii="宋体" w:hAnsi="宋体" w:cs="宋体"/>
                <w:szCs w:val="21"/>
              </w:rPr>
              <w:t>（总分100分）</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宋体" w:hAnsi="宋体" w:cs="宋体"/>
                <w:szCs w:val="21"/>
              </w:rPr>
            </w:pPr>
            <w:r>
              <w:rPr>
                <w:rFonts w:hint="eastAsia" w:ascii="宋体" w:hAnsi="宋体" w:cs="宋体"/>
                <w:szCs w:val="21"/>
                <w:lang w:eastAsia="zh-CN"/>
              </w:rPr>
              <w:t>技术部分</w:t>
            </w:r>
            <w:r>
              <w:rPr>
                <w:rFonts w:hint="eastAsia" w:ascii="宋体" w:hAnsi="宋体" w:cs="宋体"/>
                <w:szCs w:val="21"/>
              </w:rPr>
              <w:t>：</w:t>
            </w:r>
            <w:r>
              <w:rPr>
                <w:rFonts w:ascii="宋体" w:hAnsi="宋体" w:cs="宋体"/>
                <w:szCs w:val="21"/>
                <w:u w:val="single"/>
              </w:rPr>
              <w:t>6</w:t>
            </w:r>
            <w:r>
              <w:rPr>
                <w:rFonts w:hint="eastAsia" w:ascii="宋体" w:hAnsi="宋体" w:cs="宋体"/>
                <w:szCs w:val="21"/>
                <w:u w:val="single"/>
              </w:rPr>
              <w:t>0</w:t>
            </w:r>
            <w:r>
              <w:rPr>
                <w:rFonts w:hint="eastAsia" w:ascii="宋体" w:hAnsi="宋体" w:cs="宋体"/>
                <w:szCs w:val="21"/>
              </w:rPr>
              <w:t>分</w:t>
            </w:r>
          </w:p>
          <w:p>
            <w:pPr>
              <w:spacing w:line="0" w:lineRule="atLeast"/>
              <w:rPr>
                <w:rFonts w:hint="eastAsia" w:ascii="宋体" w:hAnsi="宋体" w:cs="宋体"/>
                <w:szCs w:val="21"/>
              </w:rPr>
            </w:pPr>
            <w:r>
              <w:rPr>
                <w:rFonts w:hint="eastAsia" w:ascii="宋体" w:hAnsi="宋体" w:cs="宋体"/>
                <w:szCs w:val="21"/>
              </w:rPr>
              <w:t>投标报价：</w:t>
            </w:r>
            <w:r>
              <w:rPr>
                <w:rFonts w:ascii="宋体" w:hAnsi="宋体" w:cs="宋体"/>
                <w:szCs w:val="21"/>
                <w:u w:val="single"/>
              </w:rPr>
              <w:t>4</w:t>
            </w:r>
            <w:r>
              <w:rPr>
                <w:rFonts w:hint="eastAsia" w:ascii="宋体" w:hAnsi="宋体" w:cs="宋体"/>
                <w:szCs w:val="21"/>
                <w:u w:val="single"/>
              </w:rPr>
              <w:t>0</w:t>
            </w:r>
            <w:r>
              <w:rPr>
                <w:rFonts w:hint="eastAsia" w:ascii="宋体" w:hAnsi="宋体" w:cs="宋体"/>
                <w:szCs w:val="21"/>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31" w:type="pct"/>
            <w:gridSpan w:val="2"/>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2.2.2</w:t>
            </w: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评标基准价计算方法</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276" w:lineRule="auto"/>
              <w:ind w:firstLine="420" w:firstLineChars="200"/>
              <w:rPr>
                <w:rFonts w:hint="eastAsia" w:ascii="宋体" w:hAnsi="宋体" w:cs="宋体"/>
                <w:szCs w:val="21"/>
              </w:rPr>
            </w:pPr>
            <w:r>
              <w:rPr>
                <w:rFonts w:hint="eastAsia" w:ascii="宋体" w:hAnsi="宋体" w:cs="宋体"/>
                <w:szCs w:val="21"/>
              </w:rPr>
              <w:t>评标基准价的计算：</w:t>
            </w:r>
          </w:p>
          <w:p>
            <w:pPr>
              <w:spacing w:line="276" w:lineRule="auto"/>
              <w:ind w:firstLine="420" w:firstLineChars="200"/>
              <w:rPr>
                <w:rFonts w:hint="eastAsia" w:ascii="宋体" w:hAnsi="宋体" w:cs="宋体"/>
                <w:szCs w:val="21"/>
              </w:rPr>
            </w:pPr>
            <w:r>
              <w:rPr>
                <w:rFonts w:hint="eastAsia" w:ascii="宋体" w:hAnsi="宋体" w:cs="宋体"/>
                <w:szCs w:val="21"/>
              </w:rPr>
              <w:t>在开标现场计算并宣布评标基准价。</w:t>
            </w:r>
          </w:p>
          <w:p>
            <w:pPr>
              <w:spacing w:line="276" w:lineRule="auto"/>
              <w:ind w:firstLine="420" w:firstLineChars="200"/>
              <w:rPr>
                <w:rFonts w:hint="eastAsia" w:ascii="宋体" w:hAnsi="宋体" w:cs="宋体"/>
                <w:szCs w:val="21"/>
              </w:rPr>
            </w:pPr>
            <w:r>
              <w:rPr>
                <w:rFonts w:hint="eastAsia" w:ascii="宋体" w:hAnsi="宋体" w:cs="宋体"/>
                <w:szCs w:val="21"/>
              </w:rPr>
              <w:t>（1）评标价的确定：评标价＝投标函文字报价</w:t>
            </w:r>
          </w:p>
          <w:p>
            <w:pPr>
              <w:spacing w:line="276" w:lineRule="auto"/>
              <w:ind w:firstLine="404" w:firstLineChars="200"/>
              <w:jc w:val="left"/>
              <w:rPr>
                <w:rFonts w:hint="eastAsia" w:ascii="宋体" w:hAnsi="宋体" w:cs="宋体"/>
                <w:spacing w:val="-4"/>
                <w:szCs w:val="21"/>
              </w:rPr>
            </w:pPr>
            <w:r>
              <w:rPr>
                <w:rFonts w:hint="eastAsia" w:ascii="宋体" w:hAnsi="宋体" w:cs="宋体"/>
                <w:spacing w:val="-4"/>
                <w:szCs w:val="21"/>
              </w:rPr>
              <w:t>（2）评标价平均值的计算：</w:t>
            </w:r>
          </w:p>
          <w:p>
            <w:pPr>
              <w:spacing w:line="276" w:lineRule="auto"/>
              <w:ind w:firstLine="357" w:firstLineChars="177"/>
              <w:rPr>
                <w:rFonts w:hint="eastAsia" w:ascii="宋体" w:hAnsi="宋体" w:cs="宋体"/>
                <w:spacing w:val="-4"/>
                <w:szCs w:val="21"/>
              </w:rPr>
            </w:pPr>
            <w:r>
              <w:rPr>
                <w:rFonts w:hint="eastAsia" w:ascii="宋体" w:hAnsi="宋体" w:cs="宋体"/>
                <w:spacing w:val="-4"/>
                <w:szCs w:val="21"/>
              </w:rPr>
              <w:t>除按第二章“投标人须知”第5.2.2项规定开标现场被宣布为不进入评标基准价计算的投标报价之外的投标人评标价，所有投标人的评标价去掉n个最高评标价和n个最低评标价后的算术平均值即为评标价平均值：</w:t>
            </w:r>
          </w:p>
          <w:p>
            <w:pPr>
              <w:spacing w:line="276" w:lineRule="auto"/>
              <w:ind w:firstLine="357" w:firstLineChars="177"/>
              <w:rPr>
                <w:rFonts w:hint="eastAsia" w:ascii="宋体" w:hAnsi="宋体" w:cs="宋体"/>
                <w:spacing w:val="-4"/>
                <w:szCs w:val="21"/>
              </w:rPr>
            </w:pPr>
            <w:r>
              <w:rPr>
                <w:rFonts w:hint="eastAsia" w:ascii="宋体" w:hAnsi="宋体" w:cs="宋体"/>
                <w:spacing w:val="-4"/>
                <w:szCs w:val="21"/>
              </w:rPr>
              <w:t>如果参与评标价平均值计算的投标人数量＜6家时，n=0；</w:t>
            </w:r>
          </w:p>
          <w:p>
            <w:pPr>
              <w:spacing w:line="276" w:lineRule="auto"/>
              <w:ind w:firstLine="357" w:firstLineChars="177"/>
              <w:rPr>
                <w:rFonts w:hint="eastAsia" w:ascii="宋体" w:hAnsi="宋体" w:cs="宋体"/>
                <w:spacing w:val="-4"/>
                <w:szCs w:val="21"/>
              </w:rPr>
            </w:pPr>
            <w:r>
              <w:rPr>
                <w:rFonts w:hint="eastAsia" w:ascii="宋体" w:hAnsi="宋体" w:cs="宋体"/>
                <w:spacing w:val="-4"/>
                <w:szCs w:val="21"/>
              </w:rPr>
              <w:t>6家≤参与评标价平均值计算的投标人数量＜10家时，n =1；</w:t>
            </w:r>
          </w:p>
          <w:p>
            <w:pPr>
              <w:spacing w:line="276" w:lineRule="auto"/>
              <w:ind w:firstLine="357" w:firstLineChars="177"/>
              <w:rPr>
                <w:rFonts w:hint="eastAsia" w:ascii="宋体" w:hAnsi="宋体" w:cs="宋体"/>
                <w:spacing w:val="-4"/>
                <w:szCs w:val="21"/>
              </w:rPr>
            </w:pPr>
            <w:r>
              <w:rPr>
                <w:rFonts w:hint="eastAsia" w:ascii="宋体" w:hAnsi="宋体" w:cs="宋体"/>
                <w:spacing w:val="-4"/>
                <w:szCs w:val="21"/>
              </w:rPr>
              <w:t>参与评标价平均值计算的投标人数量≥10家时，n=2。</w:t>
            </w:r>
          </w:p>
          <w:p>
            <w:pPr>
              <w:spacing w:line="276" w:lineRule="auto"/>
              <w:ind w:firstLine="404" w:firstLineChars="200"/>
              <w:jc w:val="left"/>
              <w:rPr>
                <w:rFonts w:hint="eastAsia" w:ascii="宋体" w:hAnsi="宋体" w:cs="宋体"/>
                <w:spacing w:val="-4"/>
                <w:szCs w:val="21"/>
              </w:rPr>
            </w:pPr>
            <w:r>
              <w:rPr>
                <w:rFonts w:hint="eastAsia" w:ascii="宋体" w:hAnsi="宋体" w:cs="宋体"/>
                <w:spacing w:val="-4"/>
                <w:szCs w:val="21"/>
              </w:rPr>
              <w:t>（3）评标基准价的确定：</w:t>
            </w:r>
          </w:p>
          <w:p>
            <w:pPr>
              <w:snapToGrid w:val="0"/>
              <w:spacing w:line="288" w:lineRule="auto"/>
              <w:ind w:firstLine="420" w:firstLineChars="200"/>
              <w:rPr>
                <w:rFonts w:ascii="宋体" w:hAnsi="宋体" w:cs="宋体"/>
                <w:szCs w:val="21"/>
              </w:rPr>
            </w:pPr>
            <w:r>
              <w:rPr>
                <w:rFonts w:hint="eastAsia" w:ascii="宋体" w:hAnsi="宋体" w:cs="宋体"/>
                <w:szCs w:val="21"/>
              </w:rPr>
              <w:t>将评标价平均值直接作为评标基准价（评标基准价保留两位小数，第三位四舍五入）。</w:t>
            </w:r>
          </w:p>
          <w:p>
            <w:pPr>
              <w:snapToGrid w:val="0"/>
              <w:spacing w:line="288" w:lineRule="auto"/>
              <w:ind w:firstLine="404" w:firstLineChars="200"/>
              <w:rPr>
                <w:rFonts w:hint="eastAsia" w:ascii="宋体" w:hAnsi="宋体" w:cs="宋体"/>
              </w:rPr>
            </w:pPr>
            <w:r>
              <w:rPr>
                <w:rFonts w:hint="eastAsia" w:ascii="宋体" w:hAnsi="宋体" w:cs="宋体"/>
                <w:spacing w:val="-4"/>
                <w:szCs w:val="21"/>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031" w:type="pct"/>
            <w:gridSpan w:val="2"/>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2.2.3</w:t>
            </w:r>
          </w:p>
        </w:tc>
        <w:tc>
          <w:tcPr>
            <w:tcW w:w="1124" w:type="pct"/>
            <w:tcBorders>
              <w:top w:val="single" w:color="auto" w:sz="4" w:space="0"/>
              <w:left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投标报价的偏差率计算公式</w:t>
            </w:r>
          </w:p>
        </w:tc>
        <w:tc>
          <w:tcPr>
            <w:tcW w:w="2844" w:type="pct"/>
            <w:tcBorders>
              <w:top w:val="single" w:color="auto" w:sz="4" w:space="0"/>
              <w:left w:val="single" w:color="auto" w:sz="4" w:space="0"/>
              <w:right w:val="single" w:color="auto" w:sz="4" w:space="0"/>
            </w:tcBorders>
            <w:noWrap w:val="0"/>
            <w:vAlign w:val="center"/>
          </w:tcPr>
          <w:p>
            <w:pPr>
              <w:spacing w:line="0" w:lineRule="atLeast"/>
              <w:rPr>
                <w:rFonts w:hint="eastAsia" w:ascii="宋体" w:hAnsi="宋体" w:cs="宋体"/>
                <w:szCs w:val="21"/>
              </w:rPr>
            </w:pPr>
            <w:r>
              <w:rPr>
                <w:rFonts w:hint="eastAsia" w:ascii="宋体" w:hAnsi="宋体" w:cs="宋体"/>
                <w:szCs w:val="21"/>
              </w:rPr>
              <w:t>偏差率=100%×（投标报价−评标基准价）/评标基准价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031" w:type="pct"/>
            <w:gridSpan w:val="2"/>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增加：3.1.4</w:t>
            </w:r>
          </w:p>
        </w:tc>
        <w:tc>
          <w:tcPr>
            <w:tcW w:w="1124" w:type="pct"/>
            <w:tcBorders>
              <w:top w:val="single" w:color="auto" w:sz="4" w:space="0"/>
              <w:left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修正后的最终投标报价</w:t>
            </w:r>
          </w:p>
        </w:tc>
        <w:tc>
          <w:tcPr>
            <w:tcW w:w="2844" w:type="pct"/>
            <w:tcBorders>
              <w:top w:val="single" w:color="auto" w:sz="4" w:space="0"/>
              <w:left w:val="single" w:color="auto" w:sz="4" w:space="0"/>
              <w:right w:val="single" w:color="auto" w:sz="4" w:space="0"/>
            </w:tcBorders>
            <w:noWrap w:val="0"/>
            <w:vAlign w:val="center"/>
          </w:tcPr>
          <w:p>
            <w:pPr>
              <w:spacing w:line="0" w:lineRule="atLeast"/>
              <w:rPr>
                <w:rFonts w:hint="eastAsia" w:ascii="宋体" w:hAnsi="宋体" w:cs="宋体"/>
                <w:szCs w:val="21"/>
              </w:rPr>
            </w:pPr>
            <w:r>
              <w:rPr>
                <w:rFonts w:hint="eastAsia" w:ascii="宋体" w:hAnsi="宋体" w:cs="宋体"/>
                <w:szCs w:val="21"/>
              </w:rPr>
              <w:t>修正后的最终投标报价若超过最高投标限价，评标委员会应否决其投标。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031" w:type="pct"/>
            <w:gridSpan w:val="2"/>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增加：3.2.5</w:t>
            </w:r>
          </w:p>
        </w:tc>
        <w:tc>
          <w:tcPr>
            <w:tcW w:w="1124" w:type="pct"/>
            <w:tcBorders>
              <w:top w:val="single" w:color="auto" w:sz="4" w:space="0"/>
              <w:left w:val="single" w:color="auto" w:sz="4" w:space="0"/>
              <w:right w:val="single" w:color="auto" w:sz="4" w:space="0"/>
            </w:tcBorders>
            <w:noWrap w:val="0"/>
            <w:vAlign w:val="center"/>
          </w:tcPr>
          <w:p>
            <w:pPr>
              <w:spacing w:line="288" w:lineRule="auto"/>
              <w:jc w:val="center"/>
              <w:rPr>
                <w:rFonts w:hint="eastAsia" w:ascii="宋体" w:hAnsi="宋体" w:cs="宋体"/>
                <w:szCs w:val="21"/>
              </w:rPr>
            </w:pPr>
            <w:r>
              <w:rPr>
                <w:rFonts w:hint="eastAsia" w:ascii="宋体" w:hAnsi="宋体" w:cs="宋体"/>
                <w:szCs w:val="21"/>
              </w:rPr>
              <w:t>投标文件相关信息的核查</w:t>
            </w:r>
          </w:p>
        </w:tc>
        <w:tc>
          <w:tcPr>
            <w:tcW w:w="2844" w:type="pct"/>
            <w:tcBorders>
              <w:top w:val="single" w:color="auto" w:sz="4" w:space="0"/>
              <w:left w:val="single" w:color="auto" w:sz="4" w:space="0"/>
              <w:right w:val="single" w:color="auto" w:sz="4" w:space="0"/>
            </w:tcBorders>
            <w:noWrap w:val="0"/>
            <w:vAlign w:val="center"/>
          </w:tcPr>
          <w:p>
            <w:pPr>
              <w:snapToGrid w:val="0"/>
              <w:spacing w:line="288" w:lineRule="auto"/>
              <w:jc w:val="left"/>
              <w:rPr>
                <w:rFonts w:hint="eastAsia" w:ascii="宋体" w:hAnsi="宋体"/>
              </w:rPr>
            </w:pPr>
            <w:r>
              <w:rPr>
                <w:rFonts w:hint="eastAsia" w:ascii="宋体" w:hAnsi="宋体"/>
              </w:rPr>
              <w:t>3.2.5投标文件相关信息的核查</w:t>
            </w:r>
          </w:p>
          <w:p>
            <w:pPr>
              <w:snapToGrid w:val="0"/>
              <w:spacing w:line="288" w:lineRule="auto"/>
              <w:jc w:val="left"/>
              <w:rPr>
                <w:rFonts w:hint="eastAsia" w:ascii="宋体" w:hAnsi="宋体"/>
              </w:rPr>
            </w:pPr>
            <w:r>
              <w:rPr>
                <w:rFonts w:hint="eastAsia" w:ascii="宋体" w:hAnsi="宋体"/>
              </w:rPr>
              <w:t>3.2.5.1在评标过程中，评标委员会应对以下信息进行查询：</w:t>
            </w:r>
          </w:p>
          <w:p>
            <w:pPr>
              <w:snapToGrid w:val="0"/>
              <w:spacing w:line="288" w:lineRule="auto"/>
              <w:ind w:firstLine="327" w:firstLineChars="156"/>
              <w:jc w:val="left"/>
              <w:rPr>
                <w:rFonts w:hint="eastAsia" w:ascii="宋体" w:hAnsi="宋体"/>
              </w:rPr>
            </w:pPr>
            <w:r>
              <w:rPr>
                <w:rFonts w:hint="eastAsia" w:ascii="宋体" w:hAnsi="宋体"/>
              </w:rPr>
              <w:t>（1）投标人信用情况网页截图内容与在“国家企业信用信息公示系统”中严重违法失信名单（黑名单）信息（不含分公司）或在“信用中国”网站“中失信被执行人名单、经营异常名录、税收违法黑名单、政府采购严重违法失信名单（均不含分公司）的复核结果一致。</w:t>
            </w:r>
          </w:p>
          <w:p>
            <w:pPr>
              <w:snapToGrid w:val="0"/>
              <w:spacing w:line="288" w:lineRule="auto"/>
              <w:ind w:firstLine="327" w:firstLineChars="156"/>
              <w:jc w:val="left"/>
              <w:rPr>
                <w:rFonts w:hint="eastAsia" w:ascii="宋体" w:hAnsi="宋体"/>
              </w:rPr>
            </w:pPr>
            <w:r>
              <w:rPr>
                <w:rFonts w:hint="eastAsia" w:ascii="宋体" w:hAnsi="宋体"/>
              </w:rPr>
              <w:t>如投标人未提供相关网页截图或所附截图与复核结果不一致导致不能满足资格评审要求的，评标委员会应否决其投标。</w:t>
            </w:r>
          </w:p>
          <w:p>
            <w:pPr>
              <w:autoSpaceDE w:val="0"/>
              <w:autoSpaceDN w:val="0"/>
              <w:spacing w:line="288" w:lineRule="auto"/>
              <w:ind w:firstLine="420" w:firstLineChars="200"/>
              <w:rPr>
                <w:rFonts w:hint="eastAsia" w:ascii="宋体" w:hAnsi="宋体"/>
              </w:rPr>
            </w:pPr>
            <w:r>
              <w:rPr>
                <w:rFonts w:hint="eastAsia" w:ascii="宋体" w:hAnsi="宋体"/>
              </w:rPr>
              <w:t>（2）评标委员会在评标时按照投标人提供的验证方式对电子保函或电子保证保险进行验证。如投标人未提供电子保函或电子保证保险的验证方式，或根据提供的验证方式无法核实或经核实与投标文件所附资料不一致的，评标委员会应否决其投标。</w:t>
            </w:r>
          </w:p>
          <w:p>
            <w:pPr>
              <w:pStyle w:val="8"/>
              <w:shd w:val="clear" w:color="auto" w:fill="auto"/>
              <w:spacing w:before="0" w:line="288" w:lineRule="auto"/>
              <w:jc w:val="both"/>
              <w:rPr>
                <w:rFonts w:hint="eastAsia"/>
                <w:szCs w:val="21"/>
              </w:rPr>
            </w:pPr>
            <w:r>
              <w:rPr>
                <w:rFonts w:hint="eastAsia" w:cs="Times New Roman"/>
                <w:sz w:val="21"/>
                <w:szCs w:val="21"/>
              </w:rPr>
              <w:t>3.2.5.2评标委员会应对在评标过程中发现的投标人与投标人之间、投标人与招标人之间存在的串通投标的情形进行评审和认定。投标人存在串通投标、弄虚作假、行贿等违法行为的，评标委员会应否决其投标。</w:t>
            </w:r>
          </w:p>
        </w:tc>
      </w:tr>
    </w:tbl>
    <w:p>
      <w:pPr>
        <w:autoSpaceDE w:val="0"/>
        <w:autoSpaceDN w:val="0"/>
        <w:adjustRightInd w:val="0"/>
        <w:ind w:right="-20"/>
        <w:jc w:val="left"/>
        <w:rPr>
          <w:rFonts w:hint="eastAsia" w:ascii="宋体" w:hAnsi="宋体" w:cs="宋体"/>
          <w:sz w:val="24"/>
        </w:rPr>
      </w:pPr>
      <w:r>
        <w:rPr>
          <w:rFonts w:hint="eastAsia" w:ascii="宋体" w:hAnsi="宋体" w:cs="宋体"/>
          <w:kern w:val="0"/>
          <w:szCs w:val="21"/>
        </w:rPr>
        <w:t>具体评分标准</w:t>
      </w:r>
      <w:r>
        <w:rPr>
          <w:rFonts w:hint="eastAsia" w:ascii="宋体" w:hAnsi="宋体" w:cs="宋体"/>
        </w:rPr>
        <w:t xml:space="preserve"> </w:t>
      </w:r>
    </w:p>
    <w:tbl>
      <w:tblPr>
        <w:tblStyle w:val="5"/>
        <w:tblW w:w="9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1029"/>
        <w:gridCol w:w="1919"/>
        <w:gridCol w:w="4022"/>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116" w:type="dxa"/>
            <w:noWrap w:val="0"/>
            <w:vAlign w:val="center"/>
          </w:tcPr>
          <w:p>
            <w:pPr>
              <w:pStyle w:val="3"/>
              <w:spacing w:line="160" w:lineRule="atLeast"/>
              <w:jc w:val="center"/>
              <w:textAlignment w:val="baseline"/>
              <w:rPr>
                <w:rFonts w:hint="eastAsia" w:hAnsi="宋体" w:cs="宋体"/>
                <w:kern w:val="0"/>
                <w:szCs w:val="21"/>
              </w:rPr>
            </w:pPr>
            <w:r>
              <w:rPr>
                <w:rFonts w:hint="eastAsia" w:hAnsi="宋体" w:cs="宋体"/>
              </w:rPr>
              <w:t>条款号</w:t>
            </w:r>
          </w:p>
        </w:tc>
        <w:tc>
          <w:tcPr>
            <w:tcW w:w="2948" w:type="dxa"/>
            <w:gridSpan w:val="2"/>
            <w:noWrap w:val="0"/>
            <w:vAlign w:val="center"/>
          </w:tcPr>
          <w:p>
            <w:pPr>
              <w:adjustRightInd w:val="0"/>
              <w:snapToGrid w:val="0"/>
              <w:spacing w:line="288" w:lineRule="auto"/>
              <w:jc w:val="center"/>
              <w:rPr>
                <w:rFonts w:hint="eastAsia" w:ascii="宋体" w:hAnsi="宋体" w:cs="宋体"/>
                <w:szCs w:val="21"/>
                <w:u w:val="single"/>
              </w:rPr>
            </w:pPr>
            <w:r>
              <w:rPr>
                <w:rFonts w:hint="eastAsia" w:ascii="宋体" w:hAnsi="宋体" w:cs="宋体"/>
                <w:szCs w:val="21"/>
              </w:rPr>
              <w:t>评分因素</w:t>
            </w:r>
          </w:p>
        </w:tc>
        <w:tc>
          <w:tcPr>
            <w:tcW w:w="4022" w:type="dxa"/>
            <w:noWrap w:val="0"/>
            <w:vAlign w:val="center"/>
          </w:tcPr>
          <w:p>
            <w:pPr>
              <w:spacing w:line="288" w:lineRule="auto"/>
              <w:jc w:val="center"/>
              <w:rPr>
                <w:rFonts w:hint="eastAsia" w:ascii="宋体" w:hAnsi="宋体" w:cs="宋体"/>
                <w:szCs w:val="21"/>
              </w:rPr>
            </w:pPr>
            <w:r>
              <w:rPr>
                <w:rFonts w:hint="eastAsia" w:ascii="宋体" w:hAnsi="宋体" w:cs="宋体"/>
                <w:spacing w:val="-3"/>
                <w:szCs w:val="21"/>
              </w:rPr>
              <w:t>分</w:t>
            </w:r>
            <w:r>
              <w:rPr>
                <w:rFonts w:hint="eastAsia" w:ascii="宋体" w:hAnsi="宋体" w:cs="宋体"/>
                <w:spacing w:val="-2"/>
                <w:szCs w:val="21"/>
              </w:rPr>
              <w:t>值</w:t>
            </w:r>
          </w:p>
        </w:tc>
        <w:tc>
          <w:tcPr>
            <w:tcW w:w="1280" w:type="dxa"/>
            <w:noWrap w:val="0"/>
            <w:vAlign w:val="center"/>
          </w:tcPr>
          <w:p>
            <w:pPr>
              <w:spacing w:line="288" w:lineRule="auto"/>
              <w:jc w:val="center"/>
              <w:rPr>
                <w:rFonts w:hint="eastAsia" w:ascii="宋体" w:hAnsi="宋体" w:cs="宋体"/>
                <w:spacing w:val="-3"/>
                <w:szCs w:val="21"/>
              </w:rPr>
            </w:pPr>
            <w:r>
              <w:rPr>
                <w:rFonts w:hint="eastAsia" w:ascii="宋体" w:hAnsi="宋体" w:cs="宋体"/>
                <w:spacing w:val="-1"/>
                <w:szCs w:val="21"/>
              </w:rPr>
              <w:t>评分</w:t>
            </w:r>
            <w:r>
              <w:rPr>
                <w:rFonts w:hint="eastAsia" w:ascii="宋体" w:hAnsi="宋体" w:cs="宋体"/>
                <w:szCs w:val="21"/>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6" w:type="dxa"/>
            <w:vMerge w:val="restart"/>
            <w:noWrap w:val="0"/>
            <w:vAlign w:val="center"/>
          </w:tcPr>
          <w:p>
            <w:pPr>
              <w:spacing w:line="288" w:lineRule="auto"/>
              <w:jc w:val="center"/>
              <w:rPr>
                <w:rFonts w:hint="eastAsia" w:ascii="宋体" w:hAnsi="宋体" w:cs="宋体"/>
                <w:szCs w:val="21"/>
              </w:rPr>
            </w:pPr>
            <w:r>
              <w:rPr>
                <w:rFonts w:hint="eastAsia" w:ascii="宋体" w:hAnsi="宋体" w:cs="宋体"/>
                <w:kern w:val="0"/>
                <w:szCs w:val="21"/>
              </w:rPr>
              <w:t>2.2.4（2）</w:t>
            </w:r>
          </w:p>
        </w:tc>
        <w:tc>
          <w:tcPr>
            <w:tcW w:w="1029" w:type="dxa"/>
            <w:vMerge w:val="restart"/>
            <w:noWrap w:val="0"/>
            <w:vAlign w:val="center"/>
          </w:tcPr>
          <w:p>
            <w:pPr>
              <w:spacing w:line="288" w:lineRule="auto"/>
              <w:jc w:val="center"/>
              <w:rPr>
                <w:rFonts w:hint="eastAsia" w:ascii="宋体" w:hAnsi="宋体" w:cs="宋体"/>
                <w:szCs w:val="21"/>
              </w:rPr>
            </w:pPr>
            <w:r>
              <w:rPr>
                <w:rFonts w:hint="eastAsia" w:ascii="宋体" w:hAnsi="宋体" w:cs="宋体"/>
                <w:kern w:val="0"/>
                <w:szCs w:val="21"/>
              </w:rPr>
              <w:t>技术评分标准</w:t>
            </w:r>
          </w:p>
        </w:tc>
        <w:tc>
          <w:tcPr>
            <w:tcW w:w="1919" w:type="dxa"/>
            <w:vMerge w:val="restart"/>
            <w:noWrap w:val="0"/>
            <w:vAlign w:val="center"/>
          </w:tcPr>
          <w:p>
            <w:pPr>
              <w:spacing w:line="288" w:lineRule="auto"/>
              <w:jc w:val="center"/>
              <w:rPr>
                <w:rFonts w:ascii="宋体" w:hAnsi="宋体"/>
                <w:szCs w:val="21"/>
              </w:rPr>
            </w:pPr>
            <w:r>
              <w:rPr>
                <w:rFonts w:ascii="宋体" w:hAnsi="宋体"/>
                <w:spacing w:val="12"/>
                <w:szCs w:val="21"/>
              </w:rPr>
              <w:t>投标</w:t>
            </w:r>
            <w:r>
              <w:rPr>
                <w:rFonts w:hint="eastAsia" w:ascii="宋体" w:hAnsi="宋体"/>
                <w:spacing w:val="12"/>
                <w:szCs w:val="21"/>
              </w:rPr>
              <w:t>人综合能力</w:t>
            </w:r>
            <w:r>
              <w:rPr>
                <w:rFonts w:ascii="宋体" w:hAnsi="宋体"/>
                <w:spacing w:val="12"/>
                <w:szCs w:val="21"/>
              </w:rPr>
              <w:t>评价</w:t>
            </w:r>
            <w:r>
              <w:rPr>
                <w:rFonts w:hint="eastAsia" w:ascii="宋体" w:hAnsi="宋体"/>
                <w:bCs/>
                <w:szCs w:val="21"/>
              </w:rPr>
              <w:t>（10分）</w:t>
            </w:r>
          </w:p>
        </w:tc>
        <w:tc>
          <w:tcPr>
            <w:tcW w:w="4022" w:type="dxa"/>
            <w:noWrap w:val="0"/>
            <w:vAlign w:val="center"/>
          </w:tcPr>
          <w:p>
            <w:pPr>
              <w:rPr>
                <w:rFonts w:ascii="宋体" w:hAnsi="宋体"/>
                <w:bCs/>
                <w:szCs w:val="21"/>
              </w:rPr>
            </w:pPr>
            <w:r>
              <w:rPr>
                <w:rFonts w:hint="eastAsia" w:ascii="宋体" w:hAnsi="宋体"/>
                <w:spacing w:val="12"/>
                <w:szCs w:val="21"/>
              </w:rPr>
              <w:t>质保期限长、故障响应时间短，投标人综合能力强，能很好满足招标文件要求</w:t>
            </w:r>
          </w:p>
        </w:tc>
        <w:tc>
          <w:tcPr>
            <w:tcW w:w="1280" w:type="dxa"/>
            <w:noWrap w:val="0"/>
            <w:vAlign w:val="center"/>
          </w:tcPr>
          <w:p>
            <w:pPr>
              <w:pStyle w:val="9"/>
              <w:spacing w:before="240" w:after="120"/>
              <w:jc w:val="center"/>
              <w:rPr>
                <w:bCs/>
                <w:sz w:val="21"/>
                <w:szCs w:val="21"/>
              </w:rPr>
            </w:pPr>
            <w:r>
              <w:rPr>
                <w:rFonts w:hint="eastAsia"/>
                <w:bCs/>
                <w:sz w:val="21"/>
                <w:szCs w:val="21"/>
                <w:lang w:val="en-US" w:eastAsia="zh-CN"/>
              </w:rPr>
              <w:t>8</w:t>
            </w:r>
            <w:r>
              <w:rPr>
                <w:bCs/>
                <w:sz w:val="21"/>
                <w:szCs w:val="21"/>
              </w:rPr>
              <w:t>.</w:t>
            </w:r>
            <w:r>
              <w:rPr>
                <w:rFonts w:hint="eastAsia"/>
                <w:bCs/>
                <w:sz w:val="21"/>
                <w:szCs w:val="21"/>
                <w:lang w:val="en-US" w:eastAsia="zh-CN"/>
              </w:rPr>
              <w:t>1</w:t>
            </w:r>
            <w:r>
              <w:rPr>
                <w:bCs/>
                <w:sz w:val="21"/>
                <w:szCs w:val="21"/>
              </w:rPr>
              <w:t>-</w:t>
            </w:r>
            <w:r>
              <w:rPr>
                <w:rFonts w:hint="eastAsia"/>
                <w:bCs/>
                <w:sz w:val="21"/>
                <w:szCs w:val="21"/>
              </w:rPr>
              <w:t>1</w:t>
            </w:r>
            <w:r>
              <w:rPr>
                <w:bCs/>
                <w:sz w:val="21"/>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6" w:type="dxa"/>
            <w:vMerge w:val="continue"/>
            <w:noWrap w:val="0"/>
            <w:vAlign w:val="center"/>
          </w:tcPr>
          <w:p>
            <w:pPr>
              <w:spacing w:line="288" w:lineRule="auto"/>
              <w:jc w:val="center"/>
              <w:rPr>
                <w:rFonts w:hint="eastAsia" w:ascii="宋体" w:hAnsi="宋体" w:cs="宋体"/>
                <w:kern w:val="0"/>
                <w:szCs w:val="21"/>
              </w:rPr>
            </w:pPr>
          </w:p>
        </w:tc>
        <w:tc>
          <w:tcPr>
            <w:tcW w:w="1029" w:type="dxa"/>
            <w:vMerge w:val="continue"/>
            <w:noWrap w:val="0"/>
            <w:vAlign w:val="center"/>
          </w:tcPr>
          <w:p>
            <w:pPr>
              <w:spacing w:line="288" w:lineRule="auto"/>
              <w:jc w:val="center"/>
              <w:rPr>
                <w:rFonts w:hint="eastAsia" w:ascii="宋体" w:hAnsi="宋体" w:cs="宋体"/>
                <w:kern w:val="0"/>
                <w:szCs w:val="21"/>
              </w:rPr>
            </w:pPr>
          </w:p>
        </w:tc>
        <w:tc>
          <w:tcPr>
            <w:tcW w:w="1919" w:type="dxa"/>
            <w:vMerge w:val="continue"/>
            <w:noWrap w:val="0"/>
            <w:vAlign w:val="center"/>
          </w:tcPr>
          <w:p>
            <w:pPr>
              <w:spacing w:line="288" w:lineRule="auto"/>
              <w:jc w:val="center"/>
              <w:rPr>
                <w:rFonts w:hint="eastAsia" w:ascii="宋体" w:hAnsi="宋体" w:cs="宋体"/>
                <w:szCs w:val="21"/>
              </w:rPr>
            </w:pPr>
          </w:p>
        </w:tc>
        <w:tc>
          <w:tcPr>
            <w:tcW w:w="4022" w:type="dxa"/>
            <w:noWrap w:val="0"/>
            <w:vAlign w:val="center"/>
          </w:tcPr>
          <w:p>
            <w:pPr>
              <w:rPr>
                <w:rFonts w:ascii="宋体" w:hAnsi="宋体"/>
                <w:bCs/>
                <w:szCs w:val="21"/>
              </w:rPr>
            </w:pPr>
            <w:r>
              <w:rPr>
                <w:rFonts w:hint="eastAsia" w:ascii="宋体" w:hAnsi="宋体"/>
                <w:spacing w:val="12"/>
                <w:szCs w:val="21"/>
              </w:rPr>
              <w:t>质保期限较长、故障响应时间较短，投标人综合能力较强，能较好满足招标文件要求</w:t>
            </w:r>
          </w:p>
        </w:tc>
        <w:tc>
          <w:tcPr>
            <w:tcW w:w="1280" w:type="dxa"/>
            <w:noWrap w:val="0"/>
            <w:vAlign w:val="center"/>
          </w:tcPr>
          <w:p>
            <w:pPr>
              <w:pStyle w:val="9"/>
              <w:spacing w:before="240" w:after="120"/>
              <w:jc w:val="center"/>
              <w:rPr>
                <w:bCs/>
                <w:sz w:val="21"/>
                <w:szCs w:val="21"/>
              </w:rPr>
            </w:pPr>
            <w:r>
              <w:rPr>
                <w:rFonts w:hint="eastAsia"/>
                <w:bCs/>
                <w:sz w:val="21"/>
                <w:szCs w:val="21"/>
                <w:lang w:val="en-US" w:eastAsia="zh-CN"/>
              </w:rPr>
              <w:t>6</w:t>
            </w:r>
            <w:r>
              <w:rPr>
                <w:bCs/>
                <w:sz w:val="21"/>
                <w:szCs w:val="21"/>
              </w:rPr>
              <w:t>.</w:t>
            </w:r>
            <w:r>
              <w:rPr>
                <w:rFonts w:hint="eastAsia"/>
                <w:bCs/>
                <w:sz w:val="21"/>
                <w:szCs w:val="21"/>
                <w:lang w:val="en-US" w:eastAsia="zh-CN"/>
              </w:rPr>
              <w:t>1</w:t>
            </w:r>
            <w:r>
              <w:rPr>
                <w:bCs/>
                <w:sz w:val="21"/>
                <w:szCs w:val="21"/>
              </w:rPr>
              <w:t>-</w:t>
            </w:r>
            <w:r>
              <w:rPr>
                <w:rFonts w:hint="eastAsia"/>
                <w:bCs/>
                <w:sz w:val="21"/>
                <w:szCs w:val="21"/>
                <w:lang w:val="en-US" w:eastAsia="zh-CN"/>
              </w:rPr>
              <w:t>8</w:t>
            </w:r>
            <w:r>
              <w:rPr>
                <w:bCs/>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6" w:type="dxa"/>
            <w:vMerge w:val="continue"/>
            <w:noWrap w:val="0"/>
            <w:vAlign w:val="center"/>
          </w:tcPr>
          <w:p>
            <w:pPr>
              <w:spacing w:line="288" w:lineRule="auto"/>
              <w:jc w:val="center"/>
              <w:rPr>
                <w:rFonts w:hint="eastAsia" w:ascii="宋体" w:hAnsi="宋体" w:cs="宋体"/>
                <w:kern w:val="0"/>
                <w:szCs w:val="21"/>
              </w:rPr>
            </w:pPr>
          </w:p>
        </w:tc>
        <w:tc>
          <w:tcPr>
            <w:tcW w:w="1029" w:type="dxa"/>
            <w:vMerge w:val="continue"/>
            <w:noWrap w:val="0"/>
            <w:vAlign w:val="center"/>
          </w:tcPr>
          <w:p>
            <w:pPr>
              <w:spacing w:line="288" w:lineRule="auto"/>
              <w:jc w:val="center"/>
              <w:rPr>
                <w:rFonts w:hint="eastAsia" w:ascii="宋体" w:hAnsi="宋体" w:cs="宋体"/>
                <w:kern w:val="0"/>
                <w:szCs w:val="21"/>
              </w:rPr>
            </w:pPr>
          </w:p>
        </w:tc>
        <w:tc>
          <w:tcPr>
            <w:tcW w:w="1919" w:type="dxa"/>
            <w:vMerge w:val="continue"/>
            <w:noWrap w:val="0"/>
            <w:vAlign w:val="center"/>
          </w:tcPr>
          <w:p>
            <w:pPr>
              <w:spacing w:line="288" w:lineRule="auto"/>
              <w:jc w:val="center"/>
              <w:rPr>
                <w:rFonts w:hint="eastAsia" w:ascii="宋体" w:hAnsi="宋体" w:cs="宋体"/>
                <w:szCs w:val="21"/>
              </w:rPr>
            </w:pPr>
          </w:p>
        </w:tc>
        <w:tc>
          <w:tcPr>
            <w:tcW w:w="4022" w:type="dxa"/>
            <w:noWrap w:val="0"/>
            <w:vAlign w:val="center"/>
          </w:tcPr>
          <w:p>
            <w:pPr>
              <w:rPr>
                <w:rFonts w:ascii="宋体" w:hAnsi="宋体"/>
                <w:bCs/>
                <w:szCs w:val="21"/>
              </w:rPr>
            </w:pPr>
            <w:r>
              <w:rPr>
                <w:rFonts w:hint="eastAsia" w:ascii="宋体" w:hAnsi="宋体"/>
                <w:spacing w:val="12"/>
                <w:szCs w:val="21"/>
              </w:rPr>
              <w:t>质保期限短、故障响应时间长，投标人综合能力一般，满足招标文件要求</w:t>
            </w:r>
          </w:p>
        </w:tc>
        <w:tc>
          <w:tcPr>
            <w:tcW w:w="1280" w:type="dxa"/>
            <w:noWrap w:val="0"/>
            <w:vAlign w:val="center"/>
          </w:tcPr>
          <w:p>
            <w:pPr>
              <w:pStyle w:val="9"/>
              <w:spacing w:before="240" w:after="120"/>
              <w:jc w:val="center"/>
              <w:rPr>
                <w:rFonts w:hint="default" w:eastAsia="宋体"/>
                <w:bCs/>
                <w:sz w:val="21"/>
                <w:szCs w:val="21"/>
                <w:lang w:val="en-US" w:eastAsia="zh-CN"/>
              </w:rPr>
            </w:pPr>
            <w:r>
              <w:rPr>
                <w:rFonts w:hint="eastAsia"/>
                <w:bCs/>
                <w:sz w:val="21"/>
                <w:szCs w:val="21"/>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116" w:type="dxa"/>
            <w:vMerge w:val="continue"/>
            <w:noWrap w:val="0"/>
            <w:vAlign w:val="center"/>
          </w:tcPr>
          <w:p>
            <w:pPr>
              <w:spacing w:line="288" w:lineRule="auto"/>
              <w:jc w:val="center"/>
              <w:rPr>
                <w:rFonts w:hint="eastAsia" w:ascii="宋体" w:hAnsi="宋体" w:cs="宋体"/>
                <w:kern w:val="0"/>
                <w:szCs w:val="21"/>
              </w:rPr>
            </w:pPr>
          </w:p>
        </w:tc>
        <w:tc>
          <w:tcPr>
            <w:tcW w:w="1029" w:type="dxa"/>
            <w:vMerge w:val="continue"/>
            <w:noWrap w:val="0"/>
            <w:vAlign w:val="center"/>
          </w:tcPr>
          <w:p>
            <w:pPr>
              <w:spacing w:line="288" w:lineRule="auto"/>
              <w:jc w:val="center"/>
              <w:rPr>
                <w:rFonts w:hint="eastAsia" w:ascii="宋体" w:hAnsi="宋体" w:cs="宋体"/>
                <w:kern w:val="0"/>
                <w:szCs w:val="21"/>
              </w:rPr>
            </w:pPr>
          </w:p>
        </w:tc>
        <w:tc>
          <w:tcPr>
            <w:tcW w:w="1919" w:type="dxa"/>
            <w:vMerge w:val="restart"/>
            <w:noWrap w:val="0"/>
            <w:vAlign w:val="center"/>
          </w:tcPr>
          <w:p>
            <w:pPr>
              <w:spacing w:line="288" w:lineRule="auto"/>
              <w:jc w:val="center"/>
              <w:rPr>
                <w:rFonts w:ascii="宋体" w:hAnsi="宋体"/>
                <w:spacing w:val="12"/>
                <w:szCs w:val="21"/>
              </w:rPr>
            </w:pPr>
            <w:r>
              <w:rPr>
                <w:rFonts w:hint="eastAsia" w:ascii="宋体" w:hAnsi="宋体"/>
                <w:spacing w:val="12"/>
                <w:szCs w:val="21"/>
              </w:rPr>
              <w:t>车辆主要配置及</w:t>
            </w:r>
            <w:r>
              <w:rPr>
                <w:rFonts w:ascii="宋体" w:hAnsi="宋体"/>
                <w:spacing w:val="12"/>
                <w:szCs w:val="21"/>
              </w:rPr>
              <w:t>投标设备技术性能指标的响应程度</w:t>
            </w:r>
            <w:r>
              <w:rPr>
                <w:rFonts w:hint="eastAsia" w:ascii="宋体" w:hAnsi="宋体"/>
                <w:spacing w:val="12"/>
                <w:szCs w:val="21"/>
              </w:rPr>
              <w:t>评价</w:t>
            </w:r>
          </w:p>
          <w:p>
            <w:pPr>
              <w:spacing w:line="288" w:lineRule="auto"/>
              <w:jc w:val="center"/>
              <w:rPr>
                <w:rFonts w:hint="eastAsia" w:ascii="宋体" w:hAnsi="宋体"/>
                <w:spacing w:val="12"/>
                <w:szCs w:val="21"/>
              </w:rPr>
            </w:pPr>
            <w:r>
              <w:rPr>
                <w:rFonts w:hint="eastAsia" w:ascii="宋体" w:hAnsi="宋体"/>
                <w:bCs/>
                <w:szCs w:val="21"/>
              </w:rPr>
              <w:t>（30分）</w:t>
            </w:r>
          </w:p>
        </w:tc>
        <w:tc>
          <w:tcPr>
            <w:tcW w:w="4022" w:type="dxa"/>
            <w:noWrap w:val="0"/>
            <w:vAlign w:val="center"/>
          </w:tcPr>
          <w:p>
            <w:pPr>
              <w:rPr>
                <w:rFonts w:hint="eastAsia" w:ascii="宋体" w:hAnsi="宋体"/>
                <w:spacing w:val="12"/>
                <w:szCs w:val="21"/>
              </w:rPr>
            </w:pPr>
            <w:r>
              <w:rPr>
                <w:rFonts w:hint="eastAsia" w:ascii="宋体" w:hAnsi="宋体"/>
                <w:spacing w:val="12"/>
                <w:szCs w:val="21"/>
              </w:rPr>
              <w:t>车辆功能配置齐全、实用性强、动力强劲、外观、内饰、工艺好，主要零部件的性能参数高</w:t>
            </w:r>
          </w:p>
        </w:tc>
        <w:tc>
          <w:tcPr>
            <w:tcW w:w="1280" w:type="dxa"/>
            <w:noWrap w:val="0"/>
            <w:vAlign w:val="center"/>
          </w:tcPr>
          <w:p>
            <w:pPr>
              <w:pStyle w:val="9"/>
              <w:spacing w:before="240" w:after="120"/>
              <w:jc w:val="center"/>
              <w:rPr>
                <w:bCs/>
                <w:sz w:val="21"/>
                <w:szCs w:val="21"/>
              </w:rPr>
            </w:pPr>
            <w:r>
              <w:rPr>
                <w:rFonts w:hint="eastAsia"/>
                <w:bCs/>
                <w:sz w:val="21"/>
                <w:szCs w:val="21"/>
              </w:rPr>
              <w:t>2</w:t>
            </w:r>
            <w:r>
              <w:rPr>
                <w:rFonts w:hint="eastAsia"/>
                <w:bCs/>
                <w:sz w:val="21"/>
                <w:szCs w:val="21"/>
                <w:lang w:val="en-US" w:eastAsia="zh-CN"/>
              </w:rPr>
              <w:t>4</w:t>
            </w:r>
            <w:r>
              <w:rPr>
                <w:rFonts w:hint="eastAsia"/>
                <w:bCs/>
                <w:sz w:val="21"/>
                <w:szCs w:val="21"/>
              </w:rPr>
              <w:t>.</w:t>
            </w:r>
            <w:r>
              <w:rPr>
                <w:rFonts w:hint="eastAsia"/>
                <w:bCs/>
                <w:sz w:val="21"/>
                <w:szCs w:val="21"/>
                <w:lang w:val="en-US" w:eastAsia="zh-CN"/>
              </w:rPr>
              <w:t>1</w:t>
            </w:r>
            <w:r>
              <w:rPr>
                <w:rFonts w:hint="eastAsia"/>
                <w:bCs/>
                <w:sz w:val="21"/>
                <w:szCs w:val="21"/>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1116" w:type="dxa"/>
            <w:vMerge w:val="continue"/>
            <w:noWrap w:val="0"/>
            <w:vAlign w:val="center"/>
          </w:tcPr>
          <w:p>
            <w:pPr>
              <w:spacing w:line="288" w:lineRule="auto"/>
              <w:jc w:val="center"/>
              <w:rPr>
                <w:rFonts w:hint="eastAsia" w:ascii="宋体" w:hAnsi="宋体" w:cs="宋体"/>
                <w:kern w:val="0"/>
                <w:szCs w:val="21"/>
              </w:rPr>
            </w:pPr>
          </w:p>
        </w:tc>
        <w:tc>
          <w:tcPr>
            <w:tcW w:w="1029" w:type="dxa"/>
            <w:vMerge w:val="continue"/>
            <w:noWrap w:val="0"/>
            <w:vAlign w:val="center"/>
          </w:tcPr>
          <w:p>
            <w:pPr>
              <w:spacing w:line="288" w:lineRule="auto"/>
              <w:jc w:val="center"/>
              <w:rPr>
                <w:rFonts w:hint="eastAsia" w:ascii="宋体" w:hAnsi="宋体" w:cs="宋体"/>
                <w:kern w:val="0"/>
                <w:szCs w:val="21"/>
              </w:rPr>
            </w:pPr>
          </w:p>
        </w:tc>
        <w:tc>
          <w:tcPr>
            <w:tcW w:w="1919" w:type="dxa"/>
            <w:vMerge w:val="continue"/>
            <w:noWrap w:val="0"/>
            <w:vAlign w:val="center"/>
          </w:tcPr>
          <w:p>
            <w:pPr>
              <w:spacing w:line="288" w:lineRule="auto"/>
              <w:jc w:val="center"/>
              <w:rPr>
                <w:rFonts w:hint="eastAsia" w:ascii="宋体" w:hAnsi="宋体" w:cs="宋体"/>
                <w:szCs w:val="21"/>
              </w:rPr>
            </w:pPr>
          </w:p>
        </w:tc>
        <w:tc>
          <w:tcPr>
            <w:tcW w:w="4022" w:type="dxa"/>
            <w:noWrap w:val="0"/>
            <w:vAlign w:val="center"/>
          </w:tcPr>
          <w:p>
            <w:pPr>
              <w:rPr>
                <w:rFonts w:ascii="宋体" w:hAnsi="宋体"/>
                <w:spacing w:val="12"/>
                <w:szCs w:val="21"/>
              </w:rPr>
            </w:pPr>
            <w:r>
              <w:rPr>
                <w:rFonts w:hint="eastAsia" w:ascii="宋体" w:hAnsi="宋体"/>
                <w:spacing w:val="12"/>
                <w:szCs w:val="21"/>
              </w:rPr>
              <w:t>车辆功能配置较齐全、实用性较强、动力较强、外观、内饰、工艺较好，主要零部件的性能参数较高</w:t>
            </w:r>
          </w:p>
        </w:tc>
        <w:tc>
          <w:tcPr>
            <w:tcW w:w="1280" w:type="dxa"/>
            <w:noWrap w:val="0"/>
            <w:vAlign w:val="center"/>
          </w:tcPr>
          <w:p>
            <w:pPr>
              <w:pStyle w:val="9"/>
              <w:spacing w:before="240" w:after="120"/>
              <w:jc w:val="center"/>
              <w:rPr>
                <w:bCs/>
                <w:sz w:val="21"/>
                <w:szCs w:val="21"/>
              </w:rPr>
            </w:pPr>
            <w:r>
              <w:rPr>
                <w:rFonts w:hint="eastAsia"/>
                <w:bCs/>
                <w:sz w:val="21"/>
                <w:szCs w:val="21"/>
                <w:lang w:val="en-US" w:eastAsia="zh-CN"/>
              </w:rPr>
              <w:t>18</w:t>
            </w:r>
            <w:r>
              <w:rPr>
                <w:rFonts w:hint="eastAsia"/>
                <w:bCs/>
                <w:sz w:val="21"/>
                <w:szCs w:val="21"/>
              </w:rPr>
              <w:t>.</w:t>
            </w:r>
            <w:r>
              <w:rPr>
                <w:rFonts w:hint="eastAsia"/>
                <w:bCs/>
                <w:sz w:val="21"/>
                <w:szCs w:val="21"/>
                <w:lang w:val="en-US" w:eastAsia="zh-CN"/>
              </w:rPr>
              <w:t>1</w:t>
            </w:r>
            <w:r>
              <w:rPr>
                <w:rFonts w:hint="eastAsia"/>
                <w:bCs/>
                <w:sz w:val="21"/>
                <w:szCs w:val="21"/>
              </w:rPr>
              <w:t>-2</w:t>
            </w:r>
            <w:r>
              <w:rPr>
                <w:rFonts w:hint="eastAsia"/>
                <w:bCs/>
                <w:sz w:val="21"/>
                <w:szCs w:val="21"/>
                <w:lang w:val="en-US" w:eastAsia="zh-CN"/>
              </w:rPr>
              <w:t>4</w:t>
            </w:r>
            <w:r>
              <w:rPr>
                <w:rFonts w:hint="eastAsia"/>
                <w:bCs/>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1116" w:type="dxa"/>
            <w:vMerge w:val="continue"/>
            <w:noWrap w:val="0"/>
            <w:vAlign w:val="center"/>
          </w:tcPr>
          <w:p>
            <w:pPr>
              <w:spacing w:line="288" w:lineRule="auto"/>
              <w:jc w:val="center"/>
              <w:rPr>
                <w:rFonts w:hint="eastAsia" w:ascii="宋体" w:hAnsi="宋体" w:cs="宋体"/>
                <w:kern w:val="0"/>
                <w:szCs w:val="21"/>
              </w:rPr>
            </w:pPr>
          </w:p>
        </w:tc>
        <w:tc>
          <w:tcPr>
            <w:tcW w:w="1029" w:type="dxa"/>
            <w:vMerge w:val="continue"/>
            <w:noWrap w:val="0"/>
            <w:vAlign w:val="center"/>
          </w:tcPr>
          <w:p>
            <w:pPr>
              <w:spacing w:line="288" w:lineRule="auto"/>
              <w:jc w:val="center"/>
              <w:rPr>
                <w:rFonts w:hint="eastAsia" w:ascii="宋体" w:hAnsi="宋体" w:cs="宋体"/>
                <w:kern w:val="0"/>
                <w:szCs w:val="21"/>
              </w:rPr>
            </w:pPr>
          </w:p>
        </w:tc>
        <w:tc>
          <w:tcPr>
            <w:tcW w:w="1919" w:type="dxa"/>
            <w:vMerge w:val="continue"/>
            <w:noWrap w:val="0"/>
            <w:vAlign w:val="center"/>
          </w:tcPr>
          <w:p>
            <w:pPr>
              <w:spacing w:line="288" w:lineRule="auto"/>
              <w:jc w:val="center"/>
              <w:rPr>
                <w:rFonts w:hint="eastAsia" w:ascii="宋体" w:hAnsi="宋体" w:cs="宋体"/>
                <w:szCs w:val="21"/>
              </w:rPr>
            </w:pPr>
          </w:p>
        </w:tc>
        <w:tc>
          <w:tcPr>
            <w:tcW w:w="4022" w:type="dxa"/>
            <w:noWrap w:val="0"/>
            <w:vAlign w:val="center"/>
          </w:tcPr>
          <w:p>
            <w:pPr>
              <w:rPr>
                <w:rFonts w:hint="eastAsia" w:ascii="宋体" w:hAnsi="宋体"/>
                <w:spacing w:val="12"/>
                <w:szCs w:val="21"/>
              </w:rPr>
            </w:pPr>
            <w:r>
              <w:rPr>
                <w:rFonts w:hint="eastAsia" w:ascii="宋体" w:hAnsi="宋体"/>
                <w:spacing w:val="12"/>
                <w:szCs w:val="21"/>
              </w:rPr>
              <w:t>车辆功能配置一般、实用性一般、动力一般、外观、内饰、工艺一般，主要零部件的性能参数一般</w:t>
            </w:r>
          </w:p>
        </w:tc>
        <w:tc>
          <w:tcPr>
            <w:tcW w:w="1280" w:type="dxa"/>
            <w:noWrap w:val="0"/>
            <w:vAlign w:val="center"/>
          </w:tcPr>
          <w:p>
            <w:pPr>
              <w:pStyle w:val="9"/>
              <w:spacing w:before="240" w:after="120"/>
              <w:jc w:val="center"/>
              <w:rPr>
                <w:bCs/>
                <w:sz w:val="21"/>
                <w:szCs w:val="21"/>
              </w:rPr>
            </w:pPr>
            <w:r>
              <w:rPr>
                <w:rFonts w:hint="eastAsia"/>
                <w:bCs/>
                <w:sz w:val="21"/>
                <w:szCs w:val="21"/>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1116" w:type="dxa"/>
            <w:vMerge w:val="continue"/>
            <w:noWrap w:val="0"/>
            <w:vAlign w:val="center"/>
          </w:tcPr>
          <w:p>
            <w:pPr>
              <w:spacing w:line="288" w:lineRule="auto"/>
              <w:jc w:val="center"/>
              <w:rPr>
                <w:rFonts w:hint="eastAsia" w:ascii="宋体" w:hAnsi="宋体" w:cs="宋体"/>
                <w:kern w:val="0"/>
                <w:szCs w:val="21"/>
              </w:rPr>
            </w:pPr>
          </w:p>
        </w:tc>
        <w:tc>
          <w:tcPr>
            <w:tcW w:w="1029" w:type="dxa"/>
            <w:vMerge w:val="continue"/>
            <w:noWrap w:val="0"/>
            <w:vAlign w:val="center"/>
          </w:tcPr>
          <w:p>
            <w:pPr>
              <w:spacing w:line="288" w:lineRule="auto"/>
              <w:jc w:val="center"/>
              <w:rPr>
                <w:rFonts w:hint="eastAsia" w:ascii="宋体" w:hAnsi="宋体" w:cs="宋体"/>
                <w:kern w:val="0"/>
                <w:szCs w:val="21"/>
              </w:rPr>
            </w:pPr>
          </w:p>
        </w:tc>
        <w:tc>
          <w:tcPr>
            <w:tcW w:w="1919" w:type="dxa"/>
            <w:vMerge w:val="restart"/>
            <w:noWrap w:val="0"/>
            <w:vAlign w:val="center"/>
          </w:tcPr>
          <w:p>
            <w:pPr>
              <w:spacing w:line="288" w:lineRule="auto"/>
              <w:jc w:val="center"/>
              <w:rPr>
                <w:rFonts w:ascii="宋体" w:hAnsi="宋体"/>
                <w:spacing w:val="12"/>
                <w:szCs w:val="21"/>
              </w:rPr>
            </w:pPr>
            <w:r>
              <w:rPr>
                <w:rFonts w:hint="eastAsia" w:ascii="宋体" w:hAnsi="宋体"/>
                <w:spacing w:val="12"/>
                <w:szCs w:val="21"/>
              </w:rPr>
              <w:t>交货期服务方案及服务能力评价</w:t>
            </w:r>
          </w:p>
          <w:p>
            <w:pPr>
              <w:spacing w:line="288" w:lineRule="auto"/>
              <w:jc w:val="center"/>
              <w:rPr>
                <w:rFonts w:ascii="宋体" w:hAnsi="宋体"/>
                <w:spacing w:val="12"/>
                <w:szCs w:val="21"/>
              </w:rPr>
            </w:pPr>
            <w:r>
              <w:rPr>
                <w:rFonts w:hint="eastAsia" w:ascii="宋体" w:hAnsi="宋体"/>
                <w:spacing w:val="12"/>
                <w:szCs w:val="21"/>
              </w:rPr>
              <w:t>（10分）</w:t>
            </w:r>
          </w:p>
        </w:tc>
        <w:tc>
          <w:tcPr>
            <w:tcW w:w="4022" w:type="dxa"/>
            <w:noWrap w:val="0"/>
            <w:vAlign w:val="center"/>
          </w:tcPr>
          <w:p>
            <w:pPr>
              <w:rPr>
                <w:rFonts w:ascii="宋体" w:hAnsi="宋体"/>
                <w:spacing w:val="12"/>
                <w:szCs w:val="21"/>
              </w:rPr>
            </w:pPr>
            <w:r>
              <w:rPr>
                <w:rFonts w:hint="eastAsia" w:ascii="宋体" w:hAnsi="宋体"/>
                <w:spacing w:val="12"/>
                <w:szCs w:val="21"/>
              </w:rPr>
              <w:t>配送及时、安全可靠、有良好的相关配套增值服务方案</w:t>
            </w:r>
          </w:p>
        </w:tc>
        <w:tc>
          <w:tcPr>
            <w:tcW w:w="1280" w:type="dxa"/>
            <w:noWrap w:val="0"/>
            <w:vAlign w:val="center"/>
          </w:tcPr>
          <w:p>
            <w:pPr>
              <w:pStyle w:val="9"/>
              <w:spacing w:before="240" w:after="120"/>
              <w:jc w:val="center"/>
              <w:rPr>
                <w:bCs/>
                <w:sz w:val="21"/>
                <w:szCs w:val="21"/>
              </w:rPr>
            </w:pPr>
            <w:r>
              <w:rPr>
                <w:rFonts w:hint="eastAsia"/>
                <w:bCs/>
                <w:sz w:val="21"/>
                <w:szCs w:val="21"/>
                <w:lang w:val="en-US" w:eastAsia="zh-CN"/>
              </w:rPr>
              <w:t>8</w:t>
            </w:r>
            <w:r>
              <w:rPr>
                <w:bCs/>
                <w:sz w:val="21"/>
                <w:szCs w:val="21"/>
              </w:rPr>
              <w:t>.</w:t>
            </w:r>
            <w:r>
              <w:rPr>
                <w:rFonts w:hint="eastAsia"/>
                <w:bCs/>
                <w:sz w:val="21"/>
                <w:szCs w:val="21"/>
                <w:lang w:val="en-US" w:eastAsia="zh-CN"/>
              </w:rPr>
              <w:t>1</w:t>
            </w:r>
            <w:r>
              <w:rPr>
                <w:bCs/>
                <w:sz w:val="21"/>
                <w:szCs w:val="21"/>
              </w:rPr>
              <w:t>-</w:t>
            </w:r>
            <w:r>
              <w:rPr>
                <w:rFonts w:hint="eastAsia"/>
                <w:bCs/>
                <w:sz w:val="21"/>
                <w:szCs w:val="21"/>
              </w:rPr>
              <w:t>1</w:t>
            </w:r>
            <w:r>
              <w:rPr>
                <w:bCs/>
                <w:sz w:val="21"/>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1116" w:type="dxa"/>
            <w:vMerge w:val="continue"/>
            <w:noWrap w:val="0"/>
            <w:vAlign w:val="center"/>
          </w:tcPr>
          <w:p>
            <w:pPr>
              <w:spacing w:line="288" w:lineRule="auto"/>
              <w:jc w:val="center"/>
              <w:rPr>
                <w:rFonts w:hint="eastAsia" w:ascii="宋体" w:hAnsi="宋体" w:cs="宋体"/>
                <w:kern w:val="0"/>
                <w:szCs w:val="21"/>
              </w:rPr>
            </w:pPr>
          </w:p>
        </w:tc>
        <w:tc>
          <w:tcPr>
            <w:tcW w:w="1029" w:type="dxa"/>
            <w:vMerge w:val="continue"/>
            <w:noWrap w:val="0"/>
            <w:vAlign w:val="center"/>
          </w:tcPr>
          <w:p>
            <w:pPr>
              <w:spacing w:line="288" w:lineRule="auto"/>
              <w:jc w:val="center"/>
              <w:rPr>
                <w:rFonts w:hint="eastAsia" w:ascii="宋体" w:hAnsi="宋体" w:cs="宋体"/>
                <w:kern w:val="0"/>
                <w:szCs w:val="21"/>
              </w:rPr>
            </w:pPr>
          </w:p>
        </w:tc>
        <w:tc>
          <w:tcPr>
            <w:tcW w:w="1919" w:type="dxa"/>
            <w:vMerge w:val="continue"/>
            <w:noWrap w:val="0"/>
            <w:vAlign w:val="center"/>
          </w:tcPr>
          <w:p>
            <w:pPr>
              <w:spacing w:line="288" w:lineRule="auto"/>
              <w:jc w:val="center"/>
              <w:rPr>
                <w:rFonts w:hint="eastAsia" w:ascii="宋体" w:hAnsi="宋体" w:cs="宋体"/>
                <w:szCs w:val="21"/>
              </w:rPr>
            </w:pPr>
          </w:p>
        </w:tc>
        <w:tc>
          <w:tcPr>
            <w:tcW w:w="4022" w:type="dxa"/>
            <w:noWrap w:val="0"/>
            <w:vAlign w:val="center"/>
          </w:tcPr>
          <w:p>
            <w:pPr>
              <w:rPr>
                <w:rFonts w:ascii="宋体" w:hAnsi="宋体"/>
                <w:spacing w:val="12"/>
                <w:szCs w:val="21"/>
              </w:rPr>
            </w:pPr>
            <w:r>
              <w:rPr>
                <w:rFonts w:hint="eastAsia" w:ascii="宋体" w:hAnsi="宋体"/>
                <w:spacing w:val="12"/>
                <w:szCs w:val="21"/>
              </w:rPr>
              <w:t>配送较及时、较安全可靠、有较好的相关配套增值服务方案</w:t>
            </w:r>
          </w:p>
        </w:tc>
        <w:tc>
          <w:tcPr>
            <w:tcW w:w="1280" w:type="dxa"/>
            <w:noWrap w:val="0"/>
            <w:vAlign w:val="center"/>
          </w:tcPr>
          <w:p>
            <w:pPr>
              <w:pStyle w:val="9"/>
              <w:spacing w:before="240" w:after="120"/>
              <w:jc w:val="center"/>
              <w:rPr>
                <w:bCs/>
                <w:sz w:val="21"/>
                <w:szCs w:val="21"/>
              </w:rPr>
            </w:pPr>
            <w:r>
              <w:rPr>
                <w:rFonts w:hint="eastAsia"/>
                <w:bCs/>
                <w:sz w:val="21"/>
                <w:szCs w:val="21"/>
                <w:lang w:val="en-US" w:eastAsia="zh-CN"/>
              </w:rPr>
              <w:t>6</w:t>
            </w:r>
            <w:r>
              <w:rPr>
                <w:bCs/>
                <w:sz w:val="21"/>
                <w:szCs w:val="21"/>
              </w:rPr>
              <w:t>.</w:t>
            </w:r>
            <w:r>
              <w:rPr>
                <w:rFonts w:hint="eastAsia"/>
                <w:bCs/>
                <w:sz w:val="21"/>
                <w:szCs w:val="21"/>
                <w:lang w:val="en-US" w:eastAsia="zh-CN"/>
              </w:rPr>
              <w:t>1</w:t>
            </w:r>
            <w:r>
              <w:rPr>
                <w:bCs/>
                <w:sz w:val="21"/>
                <w:szCs w:val="21"/>
              </w:rPr>
              <w:t>-</w:t>
            </w:r>
            <w:r>
              <w:rPr>
                <w:rFonts w:hint="eastAsia"/>
                <w:bCs/>
                <w:sz w:val="21"/>
                <w:szCs w:val="21"/>
                <w:lang w:val="en-US" w:eastAsia="zh-CN"/>
              </w:rPr>
              <w:t>8</w:t>
            </w:r>
            <w:r>
              <w:rPr>
                <w:bCs/>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1116" w:type="dxa"/>
            <w:vMerge w:val="continue"/>
            <w:noWrap w:val="0"/>
            <w:vAlign w:val="center"/>
          </w:tcPr>
          <w:p>
            <w:pPr>
              <w:spacing w:line="288" w:lineRule="auto"/>
              <w:jc w:val="center"/>
              <w:rPr>
                <w:rFonts w:hint="eastAsia" w:ascii="宋体" w:hAnsi="宋体" w:cs="宋体"/>
                <w:kern w:val="0"/>
                <w:szCs w:val="21"/>
              </w:rPr>
            </w:pPr>
          </w:p>
        </w:tc>
        <w:tc>
          <w:tcPr>
            <w:tcW w:w="1029" w:type="dxa"/>
            <w:vMerge w:val="continue"/>
            <w:noWrap w:val="0"/>
            <w:vAlign w:val="center"/>
          </w:tcPr>
          <w:p>
            <w:pPr>
              <w:spacing w:line="288" w:lineRule="auto"/>
              <w:jc w:val="center"/>
              <w:rPr>
                <w:rFonts w:hint="eastAsia" w:ascii="宋体" w:hAnsi="宋体" w:cs="宋体"/>
                <w:kern w:val="0"/>
                <w:szCs w:val="21"/>
              </w:rPr>
            </w:pPr>
          </w:p>
        </w:tc>
        <w:tc>
          <w:tcPr>
            <w:tcW w:w="1919" w:type="dxa"/>
            <w:vMerge w:val="continue"/>
            <w:noWrap w:val="0"/>
            <w:vAlign w:val="center"/>
          </w:tcPr>
          <w:p>
            <w:pPr>
              <w:spacing w:line="288" w:lineRule="auto"/>
              <w:jc w:val="center"/>
              <w:rPr>
                <w:rFonts w:hint="eastAsia" w:ascii="宋体" w:hAnsi="宋体" w:cs="宋体"/>
                <w:szCs w:val="21"/>
              </w:rPr>
            </w:pPr>
          </w:p>
        </w:tc>
        <w:tc>
          <w:tcPr>
            <w:tcW w:w="4022" w:type="dxa"/>
            <w:noWrap w:val="0"/>
            <w:vAlign w:val="center"/>
          </w:tcPr>
          <w:p>
            <w:pPr>
              <w:rPr>
                <w:rFonts w:ascii="宋体" w:hAnsi="宋体"/>
                <w:spacing w:val="12"/>
                <w:szCs w:val="21"/>
              </w:rPr>
            </w:pPr>
            <w:r>
              <w:rPr>
                <w:rFonts w:hint="eastAsia" w:ascii="宋体" w:hAnsi="宋体"/>
                <w:spacing w:val="12"/>
                <w:szCs w:val="21"/>
              </w:rPr>
              <w:t>配送时效性一般、安全可靠性一般、相关配套增值服务方案一般</w:t>
            </w:r>
          </w:p>
        </w:tc>
        <w:tc>
          <w:tcPr>
            <w:tcW w:w="1280" w:type="dxa"/>
            <w:noWrap w:val="0"/>
            <w:vAlign w:val="center"/>
          </w:tcPr>
          <w:p>
            <w:pPr>
              <w:pStyle w:val="9"/>
              <w:spacing w:before="240" w:after="120"/>
              <w:jc w:val="center"/>
              <w:rPr>
                <w:bCs/>
                <w:sz w:val="21"/>
                <w:szCs w:val="21"/>
              </w:rPr>
            </w:pPr>
            <w:r>
              <w:rPr>
                <w:rFonts w:hint="eastAsia"/>
                <w:bCs/>
                <w:sz w:val="21"/>
                <w:szCs w:val="21"/>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16" w:type="dxa"/>
            <w:vMerge w:val="continue"/>
            <w:noWrap w:val="0"/>
            <w:vAlign w:val="center"/>
          </w:tcPr>
          <w:p>
            <w:pPr>
              <w:spacing w:line="288" w:lineRule="auto"/>
              <w:jc w:val="center"/>
              <w:rPr>
                <w:rFonts w:hint="eastAsia" w:ascii="宋体" w:hAnsi="宋体" w:cs="宋体"/>
                <w:kern w:val="0"/>
                <w:szCs w:val="21"/>
              </w:rPr>
            </w:pPr>
          </w:p>
        </w:tc>
        <w:tc>
          <w:tcPr>
            <w:tcW w:w="1029" w:type="dxa"/>
            <w:vMerge w:val="continue"/>
            <w:noWrap w:val="0"/>
            <w:vAlign w:val="center"/>
          </w:tcPr>
          <w:p>
            <w:pPr>
              <w:spacing w:line="288" w:lineRule="auto"/>
              <w:jc w:val="center"/>
              <w:rPr>
                <w:rFonts w:hint="eastAsia" w:ascii="宋体" w:hAnsi="宋体" w:cs="宋体"/>
                <w:kern w:val="0"/>
                <w:szCs w:val="21"/>
              </w:rPr>
            </w:pPr>
          </w:p>
        </w:tc>
        <w:tc>
          <w:tcPr>
            <w:tcW w:w="1919" w:type="dxa"/>
            <w:vMerge w:val="restart"/>
            <w:noWrap w:val="0"/>
            <w:vAlign w:val="center"/>
          </w:tcPr>
          <w:p>
            <w:pPr>
              <w:adjustRightInd w:val="0"/>
              <w:snapToGrid w:val="0"/>
              <w:spacing w:line="288" w:lineRule="auto"/>
              <w:jc w:val="center"/>
              <w:rPr>
                <w:rFonts w:ascii="宋体" w:hAnsi="宋体"/>
                <w:szCs w:val="21"/>
                <w:shd w:val="clear" w:color="auto" w:fill="FFFFFF"/>
              </w:rPr>
            </w:pPr>
            <w:r>
              <w:rPr>
                <w:rFonts w:ascii="宋体" w:hAnsi="宋体"/>
                <w:szCs w:val="21"/>
                <w:shd w:val="clear" w:color="auto" w:fill="FFFFFF"/>
              </w:rPr>
              <w:t>技术服务和质保期服务能力的评价</w:t>
            </w:r>
          </w:p>
          <w:p>
            <w:pPr>
              <w:adjustRightInd w:val="0"/>
              <w:snapToGrid w:val="0"/>
              <w:spacing w:line="288" w:lineRule="auto"/>
              <w:jc w:val="center"/>
              <w:rPr>
                <w:rFonts w:ascii="宋体" w:hAnsi="宋体"/>
                <w:bCs/>
                <w:szCs w:val="21"/>
              </w:rPr>
            </w:pPr>
            <w:r>
              <w:rPr>
                <w:rFonts w:hint="eastAsia" w:ascii="宋体" w:hAnsi="宋体"/>
                <w:bCs/>
                <w:szCs w:val="21"/>
              </w:rPr>
              <w:t>（10分）</w:t>
            </w:r>
          </w:p>
        </w:tc>
        <w:tc>
          <w:tcPr>
            <w:tcW w:w="4022" w:type="dxa"/>
            <w:noWrap w:val="0"/>
            <w:vAlign w:val="center"/>
          </w:tcPr>
          <w:p>
            <w:pPr>
              <w:rPr>
                <w:rFonts w:ascii="宋体" w:hAnsi="宋体"/>
                <w:spacing w:val="12"/>
                <w:szCs w:val="21"/>
              </w:rPr>
            </w:pPr>
            <w:r>
              <w:rPr>
                <w:rFonts w:hint="eastAsia" w:ascii="宋体" w:hAnsi="宋体"/>
                <w:spacing w:val="12"/>
                <w:szCs w:val="21"/>
              </w:rPr>
              <w:t>技术服务能力、维保能力强，优惠政策好、有良好的保养检测等售后服务</w:t>
            </w:r>
          </w:p>
        </w:tc>
        <w:tc>
          <w:tcPr>
            <w:tcW w:w="1280" w:type="dxa"/>
            <w:noWrap w:val="0"/>
            <w:vAlign w:val="center"/>
          </w:tcPr>
          <w:p>
            <w:pPr>
              <w:pStyle w:val="9"/>
              <w:spacing w:before="240" w:after="120"/>
              <w:jc w:val="center"/>
              <w:rPr>
                <w:bCs/>
                <w:sz w:val="21"/>
                <w:szCs w:val="21"/>
              </w:rPr>
            </w:pPr>
            <w:r>
              <w:rPr>
                <w:rFonts w:hint="eastAsia"/>
                <w:bCs/>
                <w:sz w:val="21"/>
                <w:szCs w:val="21"/>
                <w:lang w:val="en-US" w:eastAsia="zh-CN"/>
              </w:rPr>
              <w:t>8</w:t>
            </w:r>
            <w:r>
              <w:rPr>
                <w:bCs/>
                <w:sz w:val="21"/>
                <w:szCs w:val="21"/>
              </w:rPr>
              <w:t>.</w:t>
            </w:r>
            <w:r>
              <w:rPr>
                <w:rFonts w:hint="eastAsia"/>
                <w:bCs/>
                <w:sz w:val="21"/>
                <w:szCs w:val="21"/>
                <w:lang w:val="en-US" w:eastAsia="zh-CN"/>
              </w:rPr>
              <w:t>1</w:t>
            </w:r>
            <w:r>
              <w:rPr>
                <w:bCs/>
                <w:sz w:val="21"/>
                <w:szCs w:val="21"/>
              </w:rPr>
              <w:t>-</w:t>
            </w:r>
            <w:r>
              <w:rPr>
                <w:rFonts w:hint="eastAsia"/>
                <w:bCs/>
                <w:sz w:val="21"/>
                <w:szCs w:val="21"/>
              </w:rPr>
              <w:t>1</w:t>
            </w:r>
            <w:r>
              <w:rPr>
                <w:bCs/>
                <w:sz w:val="21"/>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16" w:type="dxa"/>
            <w:vMerge w:val="continue"/>
            <w:noWrap w:val="0"/>
            <w:vAlign w:val="center"/>
          </w:tcPr>
          <w:p>
            <w:pPr>
              <w:spacing w:line="288" w:lineRule="auto"/>
              <w:jc w:val="center"/>
              <w:rPr>
                <w:rFonts w:hint="eastAsia" w:ascii="宋体" w:hAnsi="宋体" w:cs="宋体"/>
                <w:kern w:val="0"/>
                <w:szCs w:val="21"/>
              </w:rPr>
            </w:pPr>
          </w:p>
        </w:tc>
        <w:tc>
          <w:tcPr>
            <w:tcW w:w="1029" w:type="dxa"/>
            <w:vMerge w:val="continue"/>
            <w:noWrap w:val="0"/>
            <w:vAlign w:val="center"/>
          </w:tcPr>
          <w:p>
            <w:pPr>
              <w:spacing w:line="288" w:lineRule="auto"/>
              <w:jc w:val="center"/>
              <w:rPr>
                <w:rFonts w:hint="eastAsia" w:ascii="宋体" w:hAnsi="宋体" w:cs="宋体"/>
                <w:kern w:val="0"/>
                <w:szCs w:val="21"/>
              </w:rPr>
            </w:pPr>
          </w:p>
        </w:tc>
        <w:tc>
          <w:tcPr>
            <w:tcW w:w="1919" w:type="dxa"/>
            <w:vMerge w:val="continue"/>
            <w:noWrap w:val="0"/>
            <w:vAlign w:val="center"/>
          </w:tcPr>
          <w:p>
            <w:pPr>
              <w:spacing w:line="288" w:lineRule="auto"/>
              <w:jc w:val="center"/>
              <w:rPr>
                <w:rFonts w:hint="eastAsia" w:ascii="宋体" w:hAnsi="宋体" w:cs="宋体"/>
                <w:szCs w:val="21"/>
              </w:rPr>
            </w:pPr>
          </w:p>
        </w:tc>
        <w:tc>
          <w:tcPr>
            <w:tcW w:w="4022" w:type="dxa"/>
            <w:noWrap w:val="0"/>
            <w:vAlign w:val="center"/>
          </w:tcPr>
          <w:p>
            <w:pPr>
              <w:rPr>
                <w:rFonts w:ascii="宋体" w:hAnsi="宋体"/>
                <w:spacing w:val="12"/>
                <w:szCs w:val="21"/>
              </w:rPr>
            </w:pPr>
            <w:r>
              <w:rPr>
                <w:rFonts w:hint="eastAsia" w:ascii="宋体" w:hAnsi="宋体"/>
                <w:spacing w:val="12"/>
                <w:szCs w:val="21"/>
              </w:rPr>
              <w:t>技术服务能力、维保能力较强，优惠政策较好、有较好的保养检测等售后服务</w:t>
            </w:r>
          </w:p>
        </w:tc>
        <w:tc>
          <w:tcPr>
            <w:tcW w:w="1280" w:type="dxa"/>
            <w:noWrap w:val="0"/>
            <w:vAlign w:val="center"/>
          </w:tcPr>
          <w:p>
            <w:pPr>
              <w:pStyle w:val="9"/>
              <w:spacing w:before="240" w:after="120"/>
              <w:jc w:val="center"/>
              <w:rPr>
                <w:bCs/>
                <w:sz w:val="21"/>
                <w:szCs w:val="21"/>
              </w:rPr>
            </w:pPr>
            <w:r>
              <w:rPr>
                <w:rFonts w:hint="eastAsia"/>
                <w:bCs/>
                <w:sz w:val="21"/>
                <w:szCs w:val="21"/>
                <w:lang w:val="en-US" w:eastAsia="zh-CN"/>
              </w:rPr>
              <w:t>6</w:t>
            </w:r>
            <w:r>
              <w:rPr>
                <w:bCs/>
                <w:sz w:val="21"/>
                <w:szCs w:val="21"/>
              </w:rPr>
              <w:t>.</w:t>
            </w:r>
            <w:r>
              <w:rPr>
                <w:rFonts w:hint="eastAsia"/>
                <w:bCs/>
                <w:sz w:val="21"/>
                <w:szCs w:val="21"/>
                <w:lang w:val="en-US" w:eastAsia="zh-CN"/>
              </w:rPr>
              <w:t>1</w:t>
            </w:r>
            <w:r>
              <w:rPr>
                <w:bCs/>
                <w:sz w:val="21"/>
                <w:szCs w:val="21"/>
              </w:rPr>
              <w:t>-</w:t>
            </w:r>
            <w:r>
              <w:rPr>
                <w:rFonts w:hint="eastAsia"/>
                <w:bCs/>
                <w:sz w:val="21"/>
                <w:szCs w:val="21"/>
                <w:lang w:val="en-US" w:eastAsia="zh-CN"/>
              </w:rPr>
              <w:t>8</w:t>
            </w:r>
            <w:r>
              <w:rPr>
                <w:bCs/>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16" w:type="dxa"/>
            <w:vMerge w:val="continue"/>
            <w:noWrap w:val="0"/>
            <w:vAlign w:val="center"/>
          </w:tcPr>
          <w:p>
            <w:pPr>
              <w:spacing w:line="288" w:lineRule="auto"/>
              <w:jc w:val="center"/>
              <w:rPr>
                <w:rFonts w:hint="eastAsia" w:ascii="宋体" w:hAnsi="宋体" w:cs="宋体"/>
                <w:kern w:val="0"/>
                <w:szCs w:val="21"/>
              </w:rPr>
            </w:pPr>
          </w:p>
        </w:tc>
        <w:tc>
          <w:tcPr>
            <w:tcW w:w="1029" w:type="dxa"/>
            <w:vMerge w:val="continue"/>
            <w:noWrap w:val="0"/>
            <w:vAlign w:val="center"/>
          </w:tcPr>
          <w:p>
            <w:pPr>
              <w:spacing w:line="288" w:lineRule="auto"/>
              <w:jc w:val="center"/>
              <w:rPr>
                <w:rFonts w:hint="eastAsia" w:ascii="宋体" w:hAnsi="宋体" w:cs="宋体"/>
                <w:kern w:val="0"/>
                <w:szCs w:val="21"/>
              </w:rPr>
            </w:pPr>
          </w:p>
        </w:tc>
        <w:tc>
          <w:tcPr>
            <w:tcW w:w="1919" w:type="dxa"/>
            <w:vMerge w:val="continue"/>
            <w:noWrap w:val="0"/>
            <w:vAlign w:val="center"/>
          </w:tcPr>
          <w:p>
            <w:pPr>
              <w:spacing w:line="288" w:lineRule="auto"/>
              <w:jc w:val="center"/>
              <w:rPr>
                <w:rFonts w:hint="eastAsia" w:ascii="宋体" w:hAnsi="宋体" w:cs="宋体"/>
                <w:szCs w:val="21"/>
              </w:rPr>
            </w:pPr>
          </w:p>
        </w:tc>
        <w:tc>
          <w:tcPr>
            <w:tcW w:w="4022" w:type="dxa"/>
            <w:noWrap w:val="0"/>
            <w:vAlign w:val="center"/>
          </w:tcPr>
          <w:p>
            <w:pPr>
              <w:rPr>
                <w:rFonts w:ascii="宋体" w:hAnsi="宋体"/>
                <w:spacing w:val="12"/>
                <w:szCs w:val="21"/>
              </w:rPr>
            </w:pPr>
            <w:r>
              <w:rPr>
                <w:rFonts w:hint="eastAsia" w:ascii="宋体" w:hAnsi="宋体"/>
                <w:spacing w:val="12"/>
                <w:szCs w:val="21"/>
              </w:rPr>
              <w:t>技术服务能力、维保能力一般，优惠政策一般、保养检测等售后服务一般</w:t>
            </w:r>
          </w:p>
        </w:tc>
        <w:tc>
          <w:tcPr>
            <w:tcW w:w="1280" w:type="dxa"/>
            <w:noWrap w:val="0"/>
            <w:vAlign w:val="center"/>
          </w:tcPr>
          <w:p>
            <w:pPr>
              <w:pStyle w:val="9"/>
              <w:spacing w:before="240" w:after="120"/>
              <w:jc w:val="center"/>
              <w:rPr>
                <w:bCs/>
                <w:sz w:val="21"/>
                <w:szCs w:val="21"/>
              </w:rPr>
            </w:pPr>
            <w:r>
              <w:rPr>
                <w:rFonts w:hint="eastAsia"/>
                <w:bCs/>
                <w:sz w:val="21"/>
                <w:szCs w:val="21"/>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116" w:type="dxa"/>
            <w:tcBorders>
              <w:bottom w:val="single" w:color="auto" w:sz="4" w:space="0"/>
            </w:tcBorders>
            <w:noWrap w:val="0"/>
            <w:vAlign w:val="center"/>
          </w:tcPr>
          <w:p>
            <w:pPr>
              <w:spacing w:line="288" w:lineRule="auto"/>
              <w:jc w:val="center"/>
              <w:rPr>
                <w:rFonts w:hint="eastAsia" w:ascii="宋体" w:hAnsi="宋体" w:cs="宋体"/>
                <w:szCs w:val="21"/>
              </w:rPr>
            </w:pPr>
            <w:r>
              <w:rPr>
                <w:rFonts w:hint="eastAsia" w:ascii="宋体" w:hAnsi="宋体" w:cs="宋体"/>
                <w:kern w:val="0"/>
                <w:szCs w:val="21"/>
              </w:rPr>
              <w:t>2.2.4（3）</w:t>
            </w:r>
          </w:p>
        </w:tc>
        <w:tc>
          <w:tcPr>
            <w:tcW w:w="1029" w:type="dxa"/>
            <w:tcBorders>
              <w:bottom w:val="single" w:color="auto" w:sz="4" w:space="0"/>
            </w:tcBorders>
            <w:noWrap w:val="0"/>
            <w:vAlign w:val="center"/>
          </w:tcPr>
          <w:p>
            <w:pPr>
              <w:spacing w:line="288" w:lineRule="auto"/>
              <w:ind w:left="126" w:hanging="126" w:hangingChars="60"/>
              <w:jc w:val="center"/>
              <w:rPr>
                <w:rFonts w:hint="eastAsia" w:ascii="宋体" w:hAnsi="宋体" w:cs="宋体"/>
                <w:kern w:val="0"/>
                <w:szCs w:val="21"/>
              </w:rPr>
            </w:pPr>
            <w:r>
              <w:rPr>
                <w:rFonts w:hint="eastAsia" w:ascii="宋体" w:hAnsi="宋体" w:cs="宋体"/>
                <w:kern w:val="0"/>
                <w:szCs w:val="21"/>
              </w:rPr>
              <w:t>评标价</w:t>
            </w:r>
          </w:p>
          <w:p>
            <w:pPr>
              <w:spacing w:line="288" w:lineRule="auto"/>
              <w:ind w:left="126" w:hanging="126" w:hangingChars="60"/>
              <w:jc w:val="center"/>
              <w:rPr>
                <w:rFonts w:hint="eastAsia" w:ascii="宋体" w:hAnsi="宋体" w:cs="宋体"/>
                <w:szCs w:val="21"/>
              </w:rPr>
            </w:pPr>
            <w:r>
              <w:rPr>
                <w:rFonts w:hint="eastAsia" w:ascii="宋体" w:hAnsi="宋体" w:cs="宋体"/>
                <w:kern w:val="0"/>
                <w:szCs w:val="21"/>
              </w:rPr>
              <w:t>（</w:t>
            </w:r>
            <w:r>
              <w:rPr>
                <w:rFonts w:ascii="宋体" w:hAnsi="宋体" w:cs="宋体"/>
                <w:kern w:val="0"/>
                <w:szCs w:val="21"/>
                <w:u w:val="single"/>
              </w:rPr>
              <w:t>4</w:t>
            </w:r>
            <w:r>
              <w:rPr>
                <w:rFonts w:hint="eastAsia" w:ascii="宋体" w:hAnsi="宋体" w:cs="宋体"/>
                <w:kern w:val="0"/>
                <w:szCs w:val="21"/>
                <w:u w:val="single"/>
              </w:rPr>
              <w:t>0</w:t>
            </w:r>
            <w:r>
              <w:rPr>
                <w:rFonts w:hint="eastAsia" w:ascii="宋体" w:hAnsi="宋体" w:cs="宋体"/>
                <w:kern w:val="0"/>
                <w:szCs w:val="21"/>
              </w:rPr>
              <w:t>分）</w:t>
            </w:r>
          </w:p>
        </w:tc>
        <w:tc>
          <w:tcPr>
            <w:tcW w:w="7221" w:type="dxa"/>
            <w:gridSpan w:val="3"/>
            <w:tcBorders>
              <w:bottom w:val="single" w:color="auto" w:sz="4" w:space="0"/>
            </w:tcBorders>
            <w:noWrap w:val="0"/>
            <w:vAlign w:val="center"/>
          </w:tcPr>
          <w:p>
            <w:pPr>
              <w:spacing w:line="276" w:lineRule="auto"/>
              <w:rPr>
                <w:rFonts w:hint="eastAsia" w:ascii="宋体" w:hAnsi="宋体" w:cs="宋体"/>
                <w:kern w:val="0"/>
                <w:szCs w:val="21"/>
              </w:rPr>
            </w:pPr>
            <w:r>
              <w:rPr>
                <w:rFonts w:hint="eastAsia" w:ascii="宋体" w:hAnsi="宋体" w:cs="宋体"/>
                <w:kern w:val="0"/>
                <w:szCs w:val="21"/>
              </w:rPr>
              <w:t>评标价得分计算公式示例：</w:t>
            </w:r>
          </w:p>
          <w:p>
            <w:pPr>
              <w:spacing w:line="276" w:lineRule="auto"/>
              <w:ind w:firstLine="256" w:firstLineChars="122"/>
              <w:rPr>
                <w:rFonts w:hint="eastAsia" w:ascii="宋体" w:hAnsi="宋体" w:cs="宋体"/>
                <w:spacing w:val="-2"/>
                <w:kern w:val="0"/>
                <w:szCs w:val="21"/>
              </w:rPr>
            </w:pPr>
            <w:r>
              <w:rPr>
                <w:rFonts w:hint="eastAsia" w:ascii="宋体" w:hAnsi="宋体" w:cs="宋体"/>
                <w:kern w:val="0"/>
                <w:szCs w:val="21"/>
              </w:rPr>
              <w:t>（1）</w:t>
            </w:r>
            <w:r>
              <w:rPr>
                <w:rFonts w:hint="eastAsia" w:ascii="宋体" w:hAnsi="宋体" w:cs="宋体"/>
                <w:spacing w:val="-2"/>
                <w:kern w:val="0"/>
                <w:szCs w:val="21"/>
              </w:rPr>
              <w:t>如果投标人的评标价&gt;评标基准价，则评标价得分=F-偏差率×100×E</w:t>
            </w:r>
            <w:r>
              <w:rPr>
                <w:rFonts w:hint="eastAsia" w:ascii="宋体" w:hAnsi="宋体" w:cs="宋体"/>
                <w:spacing w:val="-2"/>
                <w:kern w:val="0"/>
                <w:szCs w:val="21"/>
                <w:vertAlign w:val="subscript"/>
              </w:rPr>
              <w:t>1</w:t>
            </w:r>
            <w:r>
              <w:rPr>
                <w:rFonts w:hint="eastAsia" w:ascii="宋体" w:hAnsi="宋体" w:cs="宋体"/>
                <w:spacing w:val="-2"/>
                <w:kern w:val="0"/>
                <w:szCs w:val="21"/>
              </w:rPr>
              <w:t>；</w:t>
            </w:r>
          </w:p>
          <w:p>
            <w:pPr>
              <w:spacing w:line="276" w:lineRule="auto"/>
              <w:ind w:firstLine="256" w:firstLineChars="122"/>
              <w:rPr>
                <w:rFonts w:hint="eastAsia" w:ascii="宋体" w:hAnsi="宋体" w:cs="宋体"/>
                <w:kern w:val="0"/>
                <w:szCs w:val="21"/>
              </w:rPr>
            </w:pPr>
            <w:r>
              <w:rPr>
                <w:rFonts w:hint="eastAsia" w:ascii="宋体" w:hAnsi="宋体" w:cs="宋体"/>
                <w:kern w:val="0"/>
                <w:szCs w:val="21"/>
              </w:rPr>
              <w:t>（2</w:t>
            </w:r>
            <w:r>
              <w:rPr>
                <w:rFonts w:hint="eastAsia" w:ascii="宋体" w:hAnsi="宋体" w:cs="宋体"/>
                <w:spacing w:val="-2"/>
                <w:kern w:val="0"/>
                <w:szCs w:val="21"/>
              </w:rPr>
              <w:t>）如果投标人的评标价≤评标基准价，则评标价得分=F+偏差率×100×E</w:t>
            </w:r>
            <w:r>
              <w:rPr>
                <w:rFonts w:hint="eastAsia" w:ascii="宋体" w:hAnsi="宋体" w:cs="宋体"/>
                <w:spacing w:val="-2"/>
                <w:kern w:val="0"/>
                <w:szCs w:val="21"/>
                <w:vertAlign w:val="subscript"/>
              </w:rPr>
              <w:t>2</w:t>
            </w:r>
            <w:r>
              <w:rPr>
                <w:rFonts w:hint="eastAsia" w:ascii="宋体" w:hAnsi="宋体" w:cs="宋体"/>
                <w:spacing w:val="-2"/>
                <w:kern w:val="0"/>
                <w:szCs w:val="21"/>
              </w:rPr>
              <w:t>。</w:t>
            </w:r>
          </w:p>
          <w:p>
            <w:pPr>
              <w:spacing w:line="276" w:lineRule="auto"/>
              <w:ind w:firstLine="256" w:firstLineChars="122"/>
              <w:rPr>
                <w:rFonts w:hint="eastAsia" w:ascii="宋体" w:hAnsi="宋体" w:cs="宋体"/>
                <w:kern w:val="0"/>
                <w:szCs w:val="21"/>
              </w:rPr>
            </w:pPr>
            <w:r>
              <w:rPr>
                <w:rFonts w:hint="eastAsia" w:ascii="宋体" w:hAnsi="宋体" w:cs="宋体"/>
                <w:kern w:val="0"/>
                <w:szCs w:val="21"/>
              </w:rPr>
              <w:t>其中：F=</w:t>
            </w:r>
            <w:r>
              <w:rPr>
                <w:rFonts w:ascii="宋体" w:hAnsi="宋体" w:cs="宋体"/>
                <w:kern w:val="0"/>
                <w:szCs w:val="21"/>
              </w:rPr>
              <w:t>4</w:t>
            </w:r>
            <w:r>
              <w:rPr>
                <w:rFonts w:hint="eastAsia" w:ascii="宋体" w:hAnsi="宋体" w:cs="宋体"/>
                <w:kern w:val="0"/>
                <w:szCs w:val="21"/>
              </w:rPr>
              <w:t>0，E</w:t>
            </w:r>
            <w:r>
              <w:rPr>
                <w:rFonts w:hint="eastAsia" w:ascii="宋体" w:hAnsi="宋体" w:cs="宋体"/>
                <w:kern w:val="0"/>
                <w:szCs w:val="21"/>
                <w:vertAlign w:val="subscript"/>
              </w:rPr>
              <w:t>1</w:t>
            </w:r>
            <w:r>
              <w:rPr>
                <w:rFonts w:hint="eastAsia" w:ascii="宋体" w:hAnsi="宋体" w:cs="宋体"/>
                <w:kern w:val="0"/>
                <w:szCs w:val="21"/>
              </w:rPr>
              <w:t>=0.2，E</w:t>
            </w:r>
            <w:r>
              <w:rPr>
                <w:rFonts w:hint="eastAsia" w:ascii="宋体" w:hAnsi="宋体" w:cs="宋体"/>
                <w:kern w:val="0"/>
                <w:szCs w:val="21"/>
                <w:vertAlign w:val="subscript"/>
              </w:rPr>
              <w:t>2</w:t>
            </w:r>
            <w:r>
              <w:rPr>
                <w:rFonts w:hint="eastAsia" w:ascii="宋体" w:hAnsi="宋体" w:cs="宋体"/>
                <w:kern w:val="0"/>
                <w:szCs w:val="21"/>
              </w:rPr>
              <w:t>=0.1。</w:t>
            </w:r>
          </w:p>
          <w:p>
            <w:pPr>
              <w:spacing w:line="276" w:lineRule="auto"/>
              <w:ind w:firstLine="256" w:firstLineChars="122"/>
              <w:rPr>
                <w:rFonts w:hint="eastAsia" w:ascii="宋体" w:hAnsi="宋体" w:cs="宋体"/>
                <w:szCs w:val="21"/>
              </w:rPr>
            </w:pPr>
            <w:r>
              <w:rPr>
                <w:rFonts w:hint="eastAsia" w:ascii="宋体" w:hAnsi="宋体" w:cs="宋体"/>
                <w:szCs w:val="21"/>
              </w:rPr>
              <w:t>投标报价最低得分为0分。评标价得分保留2位小数，评标价最低得分为0分。</w:t>
            </w:r>
          </w:p>
        </w:tc>
      </w:tr>
    </w:tbl>
    <w:p>
      <w:pPr>
        <w:adjustRightInd w:val="0"/>
        <w:spacing w:line="288" w:lineRule="auto"/>
        <w:ind w:firstLine="420" w:firstLineChars="200"/>
        <w:jc w:val="left"/>
        <w:rPr>
          <w:rFonts w:hint="eastAsia" w:ascii="宋体" w:hAnsi="宋体" w:cs="宋体"/>
          <w:szCs w:val="21"/>
        </w:rPr>
      </w:pPr>
      <w:r>
        <w:rPr>
          <w:rFonts w:hint="eastAsia" w:ascii="宋体" w:hAnsi="宋体" w:cs="宋体"/>
          <w:szCs w:val="21"/>
        </w:rPr>
        <w:t>注：1.评委打分保留一位小数，各评分因素得分应以评标委员会各成员的打分平均值确定，保留两位小数，第三位四舍五入。</w:t>
      </w:r>
    </w:p>
    <w:p>
      <w:pPr>
        <w:rPr>
          <w:rFonts w:hint="eastAsia" w:eastAsia="宋体"/>
          <w:lang w:eastAsia="zh-CN"/>
        </w:rPr>
      </w:pPr>
      <w:r>
        <w:rPr>
          <w:rFonts w:hint="eastAsia" w:ascii="宋体" w:hAnsi="宋体" w:cs="宋体"/>
          <w:szCs w:val="21"/>
        </w:rPr>
        <w:t>2.技术部分评分因素缺项则该项得0分</w:t>
      </w:r>
      <w:r>
        <w:rPr>
          <w:rFonts w:hint="eastAsia" w:ascii="宋体" w:hAnsi="宋体" w:cs="宋体"/>
          <w:szCs w:val="21"/>
          <w:lang w:eastAsia="zh-CN"/>
        </w:rPr>
        <w:t>。</w:t>
      </w: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lMmMzNjViOGFjMDZiZTZkYzIxNmU3NDgxNTExNTEifQ=="/>
  </w:docVars>
  <w:rsids>
    <w:rsidRoot w:val="7EC3539F"/>
    <w:rsid w:val="7EC35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qFormat/>
    <w:uiPriority w:val="9"/>
    <w:pPr>
      <w:keepNext/>
      <w:keepLines/>
      <w:spacing w:before="50" w:beforeLines="50" w:line="415" w:lineRule="auto"/>
      <w:outlineLvl w:val="2"/>
    </w:pPr>
    <w:rPr>
      <w:b/>
      <w:bCs/>
      <w:sz w:val="32"/>
      <w:szCs w:val="32"/>
    </w:rPr>
  </w:style>
  <w:style w:type="character" w:default="1" w:styleId="6">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Plain Text"/>
    <w:basedOn w:val="1"/>
    <w:qFormat/>
    <w:uiPriority w:val="99"/>
    <w:rPr>
      <w:rFonts w:ascii="宋体" w:hAnsi="Courier New"/>
      <w:szCs w:val="20"/>
    </w:rPr>
  </w:style>
  <w:style w:type="paragraph" w:styleId="4">
    <w:name w:val="footer"/>
    <w:basedOn w:val="1"/>
    <w:unhideWhenUsed/>
    <w:qFormat/>
    <w:uiPriority w:val="0"/>
    <w:pPr>
      <w:tabs>
        <w:tab w:val="center" w:pos="4153"/>
        <w:tab w:val="right" w:pos="8306"/>
      </w:tabs>
      <w:snapToGrid w:val="0"/>
      <w:jc w:val="left"/>
    </w:pPr>
    <w:rPr>
      <w:kern w:val="0"/>
      <w:sz w:val="18"/>
      <w:szCs w:val="18"/>
    </w:rPr>
  </w:style>
  <w:style w:type="character" w:styleId="7">
    <w:name w:val="page number"/>
    <w:uiPriority w:val="0"/>
  </w:style>
  <w:style w:type="paragraph" w:customStyle="1" w:styleId="8">
    <w:name w:val="正文文本 (2)"/>
    <w:basedOn w:val="1"/>
    <w:qFormat/>
    <w:uiPriority w:val="0"/>
    <w:pPr>
      <w:shd w:val="clear" w:color="auto" w:fill="FFFFFF"/>
      <w:spacing w:before="300" w:line="439" w:lineRule="exact"/>
      <w:jc w:val="distribute"/>
    </w:pPr>
    <w:rPr>
      <w:rFonts w:ascii="宋体" w:hAnsi="宋体" w:cs="宋体"/>
      <w:kern w:val="0"/>
      <w:sz w:val="22"/>
    </w:rPr>
  </w:style>
  <w:style w:type="paragraph" w:styleId="9">
    <w:name w:val="No Spacing"/>
    <w:qFormat/>
    <w:uiPriority w:val="0"/>
    <w:pPr>
      <w:widowControl w:val="0"/>
      <w:jc w:val="both"/>
    </w:pPr>
    <w:rPr>
      <w:rFonts w:ascii="宋体" w:hAnsi="宋体"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2023-12-14T08:26:00Z</dcterms:created>
  <dc:creator>小蒋</dc:creator>
  <cp:lastModifiedBy>小蒋</cp:lastModifiedBy>
  <dcterms:modified xsi:type="dcterms:W3CDTF">2023-12-14T08:31:17Z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62441FEFFC164F8A9782F2564AC7AEE4_11</vt:lpwstr>
  </property>
</Properties>
</file>