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35"/>
          <w:szCs w:val="35"/>
          <w:lang w:val="en-US" w:eastAsia="zh-CN"/>
          <w14:ligatures w14:val="none"/>
        </w:rPr>
      </w:pP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河北高速公路集团有限公司2023年机电养护工程施工监理中标结果</w:t>
      </w:r>
      <w:r>
        <w:rPr>
          <w:rFonts w:hint="eastAsia" w:ascii="黑体" w:hAnsi="黑体" w:eastAsia="黑体" w:cs="宋体"/>
          <w:kern w:val="0"/>
          <w:sz w:val="35"/>
          <w:szCs w:val="35"/>
          <w:lang w:eastAsia="zh-CN"/>
          <w14:ligatures w14:val="none"/>
        </w:rPr>
        <w:t>公告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项目代码：481b7638bb63441596fc60ebe1f32d2e   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中标结果公示编号：I1300000001117519001001Z001   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来源平台： [平台内]    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公示发布日期：2023-12-13</w:t>
      </w:r>
    </w:p>
    <w:tbl>
      <w:tblPr>
        <w:tblStyle w:val="5"/>
        <w:tblW w:w="5000" w:type="pct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3293"/>
        <w:gridCol w:w="1718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589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175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589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开标时间:</w:t>
            </w:r>
          </w:p>
        </w:tc>
        <w:tc>
          <w:tcPr>
            <w:tcW w:w="1755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2023-12-05 09:00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公示发布日期: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2023-12-13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tbl>
      <w:tblPr>
        <w:tblStyle w:val="5"/>
        <w:tblW w:w="129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0"/>
      </w:tblGrid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hint="eastAsia" w:ascii="黑体" w:hAnsi="黑体" w:eastAsia="黑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5"/>
                <w:szCs w:val="25"/>
                <w14:ligatures w14:val="none"/>
              </w:rPr>
              <w:t>河北高速公路集团有限公司2023年机电养护工程施工监理中标结果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5"/>
                <w:szCs w:val="25"/>
                <w14:ligatures w14:val="none"/>
              </w:rPr>
              <w:t>公告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3612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3"/>
              <w:gridCol w:w="3823"/>
              <w:gridCol w:w="1699"/>
              <w:gridCol w:w="24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4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4308" w:type="pct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河北高速公路集团有限公司2023年机电养护工程施工监理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207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交通运输、仓储和邮政业/道路运输业</w:t>
                  </w:r>
                </w:p>
              </w:tc>
              <w:tc>
                <w:tcPr>
                  <w:tcW w:w="92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130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石家庄市-长安区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207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2023-12-05 09:00</w:t>
                  </w:r>
                </w:p>
              </w:tc>
              <w:tc>
                <w:tcPr>
                  <w:tcW w:w="92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130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2023-12-13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9230" w:type="dxa"/>
              <w:tblInd w:w="176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7"/>
              <w:gridCol w:w="2040"/>
              <w:gridCol w:w="874"/>
              <w:gridCol w:w="1041"/>
              <w:gridCol w:w="865"/>
              <w:gridCol w:w="993"/>
              <w:gridCol w:w="2834"/>
              <w:gridCol w:w="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6" w:type="dxa"/>
              </w:trPr>
              <w:tc>
                <w:tcPr>
                  <w:tcW w:w="9214" w:type="dxa"/>
                  <w:gridSpan w:val="7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67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865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993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283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6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91130101685712333K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石家庄宏域工程技术咨询有限公司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1406800元人民币</w:t>
                  </w:r>
                </w:p>
              </w:tc>
              <w:tc>
                <w:tcPr>
                  <w:tcW w:w="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壹佰肆拾万陆仟捌佰元零角零分</w:t>
                  </w: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工程竣（交）工验收的质量评定：合格。</w:t>
                  </w:r>
                </w:p>
              </w:tc>
              <w:tc>
                <w:tcPr>
                  <w:tcW w:w="28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监理服务期限为16个月，包括施工期、试运行、缺陷责任期（开工至缺陷责任期结束）。其中：施工阶段（含施工准备阶段）监理4个月（含试运行期监理3个月），验收与缺陷责任期阶段监理12个月。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Cs w:val="21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928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2"/>
              <w:gridCol w:w="2438"/>
              <w:gridCol w:w="1628"/>
              <w:gridCol w:w="41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282" w:type="dxa"/>
                  <w:gridSpan w:val="4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2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410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丁燕、李娜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410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410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410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410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szCs w:val="21"/>
        </w:rPr>
      </w:pPr>
    </w:p>
    <w:sectPr>
      <w:pgSz w:w="11906" w:h="16838"/>
      <w:pgMar w:top="1276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E63883"/>
    <w:rsid w:val="00BF6F3D"/>
    <w:rsid w:val="00E63883"/>
    <w:rsid w:val="00FB4F9B"/>
    <w:rsid w:val="3842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2 字符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9">
    <w:name w:val="标题 3 字符"/>
    <w:basedOn w:val="6"/>
    <w:link w:val="3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0">
    <w:name w:val="gsstarttime"/>
    <w:basedOn w:val="6"/>
    <w:uiPriority w:val="0"/>
  </w:style>
  <w:style w:type="paragraph" w:customStyle="1" w:styleId="11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">
    <w:name w:val="ov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2023-12-13T06:34:00Z</dcterms:created>
  <dc:creator>帆 齐</dc:creator>
  <cp:lastModifiedBy>李娜</cp:lastModifiedBy>
  <dcterms:modified xsi:type="dcterms:W3CDTF">2023-12-18T03:15:12Z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5D8AE07F6DB643A09A59F0E3065DC53B_12</vt:lpwstr>
  </property>
</Properties>
</file>