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120" w:beforeLines="50" w:line="276" w:lineRule="auto"/>
        <w:rPr>
          <w:rFonts w:hint="eastAsia" w:ascii="宋体" w:hAnsi="宋体" w:eastAsia="宋体" w:cs="宋体"/>
          <w:b/>
          <w:color w:val="auto"/>
          <w:sz w:val="24"/>
          <w:highlight w:val="none"/>
        </w:rPr>
      </w:pPr>
      <w:bookmarkStart w:id="0" w:name="_Toc514238201"/>
      <w:bookmarkStart w:id="1" w:name="_Hlk517255404"/>
      <w:bookmarkStart w:id="23" w:name="_GoBack"/>
      <w:bookmarkEnd w:id="23"/>
      <w:r>
        <w:rPr>
          <w:rFonts w:hint="eastAsia" w:ascii="宋体" w:hAnsi="宋体" w:eastAsia="宋体" w:cs="宋体"/>
          <w:b/>
          <w:color w:val="auto"/>
          <w:sz w:val="24"/>
          <w:highlight w:val="none"/>
        </w:rPr>
        <w:t>附件1：资格审查条件</w:t>
      </w:r>
      <w:bookmarkEnd w:id="0"/>
    </w:p>
    <w:p>
      <w:pPr>
        <w:adjustRightInd w:val="0"/>
        <w:spacing w:line="400" w:lineRule="exact"/>
        <w:jc w:val="center"/>
        <w:rPr>
          <w:rFonts w:hint="eastAsia" w:ascii="宋体" w:hAnsi="宋体" w:eastAsia="宋体" w:cs="宋体"/>
          <w:b/>
          <w:color w:val="auto"/>
          <w:sz w:val="24"/>
          <w:szCs w:val="24"/>
          <w:highlight w:val="none"/>
        </w:rPr>
      </w:pPr>
    </w:p>
    <w:p>
      <w:pPr>
        <w:adjustRightInd w:val="0"/>
        <w:spacing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附录1 </w:t>
      </w:r>
      <w:bookmarkStart w:id="2" w:name="_Hlk515531673"/>
      <w:r>
        <w:rPr>
          <w:rFonts w:hint="eastAsia" w:ascii="宋体" w:hAnsi="宋体" w:eastAsia="宋体" w:cs="宋体"/>
          <w:b/>
          <w:color w:val="auto"/>
          <w:sz w:val="24"/>
          <w:szCs w:val="24"/>
          <w:highlight w:val="none"/>
        </w:rPr>
        <w:t>资格审查条件（</w:t>
      </w:r>
      <w:bookmarkStart w:id="3" w:name="_Hlk93741047"/>
      <w:r>
        <w:rPr>
          <w:rFonts w:hint="eastAsia" w:ascii="宋体" w:hAnsi="宋体" w:eastAsia="宋体" w:cs="宋体"/>
          <w:b/>
          <w:color w:val="auto"/>
          <w:sz w:val="24"/>
          <w:szCs w:val="24"/>
          <w:highlight w:val="none"/>
        </w:rPr>
        <w:t>资质最低要求</w:t>
      </w:r>
      <w:bookmarkEnd w:id="3"/>
      <w:r>
        <w:rPr>
          <w:rFonts w:hint="eastAsia" w:ascii="宋体" w:hAnsi="宋体" w:eastAsia="宋体" w:cs="宋体"/>
          <w:b/>
          <w:color w:val="auto"/>
          <w:sz w:val="24"/>
          <w:szCs w:val="24"/>
          <w:highlight w:val="none"/>
        </w:rPr>
        <w:t>）</w:t>
      </w:r>
      <w:bookmarkEnd w:id="2"/>
    </w:p>
    <w:tbl>
      <w:tblPr>
        <w:tblStyle w:val="9"/>
        <w:tblW w:w="92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jc w:val="center"/>
        </w:trPr>
        <w:tc>
          <w:tcPr>
            <w:tcW w:w="9286" w:type="dxa"/>
            <w:noWrap w:val="0"/>
            <w:vAlign w:val="center"/>
          </w:tcPr>
          <w:p>
            <w:pPr>
              <w:pStyle w:val="8"/>
              <w:spacing w:before="0" w:beforeAutospacing="0" w:after="0" w:afterAutospacing="0" w:line="240" w:lineRule="auto"/>
              <w:ind w:firstLine="0"/>
              <w:contextualSpacing/>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资质要求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3" w:hRule="atLeast"/>
          <w:jc w:val="center"/>
        </w:trPr>
        <w:tc>
          <w:tcPr>
            <w:tcW w:w="9286" w:type="dxa"/>
            <w:noWrap w:val="0"/>
            <w:vAlign w:val="center"/>
          </w:tcPr>
          <w:p>
            <w:pPr>
              <w:spacing w:line="240" w:lineRule="auto"/>
              <w:rPr>
                <w:rFonts w:hint="eastAsia" w:ascii="宋体" w:hAnsi="宋体" w:eastAsia="宋体" w:cs="宋体"/>
                <w:color w:val="auto"/>
                <w:sz w:val="24"/>
                <w:szCs w:val="24"/>
                <w:highlight w:val="none"/>
              </w:rPr>
            </w:pPr>
            <w:bookmarkStart w:id="4" w:name="_Hlk93741073"/>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中华人民共和国境内注册的独立法人或</w:t>
            </w:r>
            <w:r>
              <w:rPr>
                <w:rFonts w:hint="eastAsia" w:ascii="宋体" w:hAnsi="宋体" w:eastAsia="宋体" w:cs="宋体"/>
                <w:color w:val="auto"/>
                <w:sz w:val="24"/>
                <w:szCs w:val="24"/>
                <w:highlight w:val="none"/>
                <w:lang w:val="en-US" w:eastAsia="zh-CN"/>
              </w:rPr>
              <w:t>其他组织</w:t>
            </w:r>
            <w:r>
              <w:rPr>
                <w:rFonts w:hint="eastAsia" w:ascii="宋体" w:hAnsi="宋体" w:eastAsia="宋体" w:cs="宋体"/>
                <w:color w:val="auto"/>
                <w:sz w:val="24"/>
                <w:szCs w:val="24"/>
                <w:highlight w:val="none"/>
              </w:rPr>
              <w:t>，持有有效的企业营业执照；</w:t>
            </w:r>
          </w:p>
          <w:p>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具备会计师事务所执业证书；</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以联合体形式投标的，联合体成员</w:t>
            </w:r>
            <w:r>
              <w:rPr>
                <w:rFonts w:hint="eastAsia" w:ascii="宋体" w:hAnsi="宋体" w:eastAsia="宋体" w:cs="宋体"/>
                <w:color w:val="auto"/>
                <w:sz w:val="24"/>
                <w:szCs w:val="24"/>
                <w:highlight w:val="none"/>
                <w:lang w:eastAsia="zh-CN"/>
              </w:rPr>
              <w:t>应</w:t>
            </w:r>
            <w:r>
              <w:rPr>
                <w:rFonts w:hint="eastAsia" w:ascii="宋体" w:hAnsi="宋体" w:eastAsia="宋体" w:cs="宋体"/>
                <w:color w:val="auto"/>
                <w:sz w:val="24"/>
                <w:szCs w:val="24"/>
                <w:highlight w:val="none"/>
              </w:rPr>
              <w:t>满足</w:t>
            </w:r>
            <w:r>
              <w:rPr>
                <w:rFonts w:hint="eastAsia" w:ascii="宋体" w:hAnsi="宋体" w:eastAsia="宋体" w:cs="宋体"/>
                <w:color w:val="auto"/>
                <w:sz w:val="24"/>
                <w:szCs w:val="24"/>
                <w:highlight w:val="none"/>
                <w:lang w:val="en-US" w:eastAsia="zh-CN"/>
              </w:rPr>
              <w:t>以上</w:t>
            </w:r>
            <w:r>
              <w:rPr>
                <w:rFonts w:hint="eastAsia" w:ascii="宋体" w:hAnsi="宋体" w:eastAsia="宋体" w:cs="宋体"/>
                <w:color w:val="auto"/>
                <w:sz w:val="24"/>
                <w:szCs w:val="24"/>
                <w:highlight w:val="none"/>
              </w:rPr>
              <w:t>要求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联合体牵头人应具</w:t>
            </w:r>
            <w:r>
              <w:rPr>
                <w:rFonts w:hint="eastAsia" w:ascii="宋体" w:hAnsi="宋体" w:eastAsia="宋体" w:cs="宋体"/>
                <w:color w:val="auto"/>
                <w:sz w:val="24"/>
                <w:szCs w:val="24"/>
                <w:highlight w:val="none"/>
                <w:lang w:eastAsia="zh-CN"/>
              </w:rPr>
              <w:t>备</w:t>
            </w:r>
            <w:r>
              <w:rPr>
                <w:rFonts w:hint="eastAsia" w:ascii="宋体" w:hAnsi="宋体" w:eastAsia="宋体" w:cs="宋体"/>
                <w:color w:val="auto"/>
                <w:sz w:val="24"/>
                <w:szCs w:val="24"/>
                <w:highlight w:val="none"/>
              </w:rPr>
              <w:t>会计师事务所执业证书。</w:t>
            </w:r>
          </w:p>
        </w:tc>
      </w:tr>
      <w:bookmarkEnd w:id="4"/>
    </w:tbl>
    <w:p>
      <w:pPr>
        <w:adjustRightInd w:val="0"/>
        <w:spacing w:line="240" w:lineRule="auto"/>
        <w:jc w:val="center"/>
        <w:rPr>
          <w:rFonts w:hint="eastAsia" w:ascii="宋体" w:hAnsi="宋体" w:eastAsia="宋体" w:cs="宋体"/>
          <w:b/>
          <w:color w:val="auto"/>
          <w:sz w:val="24"/>
          <w:szCs w:val="24"/>
          <w:highlight w:val="none"/>
        </w:rPr>
      </w:pPr>
    </w:p>
    <w:p>
      <w:pPr>
        <w:adjustRightInd w:val="0"/>
        <w:spacing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附录2 资格审查条件（</w:t>
      </w:r>
      <w:bookmarkStart w:id="5" w:name="_Hlk93740530"/>
      <w:r>
        <w:rPr>
          <w:rFonts w:hint="eastAsia" w:ascii="宋体" w:hAnsi="宋体" w:eastAsia="宋体" w:cs="宋体"/>
          <w:b/>
          <w:color w:val="auto"/>
          <w:sz w:val="24"/>
          <w:szCs w:val="24"/>
          <w:highlight w:val="none"/>
        </w:rPr>
        <w:t>业绩最低要求</w:t>
      </w:r>
      <w:bookmarkEnd w:id="5"/>
      <w:r>
        <w:rPr>
          <w:rFonts w:hint="eastAsia" w:ascii="宋体" w:hAnsi="宋体" w:eastAsia="宋体" w:cs="宋体"/>
          <w:b/>
          <w:color w:val="auto"/>
          <w:sz w:val="24"/>
          <w:szCs w:val="24"/>
          <w:highlight w:val="none"/>
        </w:rPr>
        <w:t>）</w:t>
      </w:r>
    </w:p>
    <w:tbl>
      <w:tblPr>
        <w:tblStyle w:val="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jc w:val="center"/>
        </w:trPr>
        <w:tc>
          <w:tcPr>
            <w:tcW w:w="9286" w:type="dxa"/>
            <w:noWrap w:val="0"/>
            <w:vAlign w:val="center"/>
          </w:tcPr>
          <w:p>
            <w:pPr>
              <w:pStyle w:val="8"/>
              <w:spacing w:before="0" w:beforeAutospacing="0" w:after="0" w:afterAutospacing="0" w:line="240" w:lineRule="auto"/>
              <w:ind w:firstLine="0"/>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业绩要求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18" w:hRule="atLeast"/>
          <w:jc w:val="center"/>
        </w:trPr>
        <w:tc>
          <w:tcPr>
            <w:tcW w:w="9286" w:type="dxa"/>
            <w:noWrap w:val="0"/>
            <w:vAlign w:val="center"/>
          </w:tcPr>
          <w:p>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（1）投标人在近</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年（2019年</w:t>
            </w:r>
            <w:r>
              <w:rPr>
                <w:rFonts w:hint="eastAsia" w:ascii="宋体" w:hAnsi="宋体" w:eastAsia="宋体" w:cs="宋体"/>
                <w:color w:val="auto"/>
                <w:sz w:val="24"/>
                <w:szCs w:val="24"/>
                <w:highlight w:val="none"/>
                <w:lang w:val="en-US" w:eastAsia="zh-CN"/>
              </w:rPr>
              <w:t>8月1日</w:t>
            </w:r>
            <w:r>
              <w:rPr>
                <w:rFonts w:hint="eastAsia" w:ascii="宋体" w:hAnsi="宋体" w:eastAsia="宋体" w:cs="宋体"/>
                <w:color w:val="auto"/>
                <w:sz w:val="24"/>
                <w:szCs w:val="24"/>
                <w:highlight w:val="none"/>
              </w:rPr>
              <w:t>至今，以</w:t>
            </w:r>
            <w:r>
              <w:rPr>
                <w:rFonts w:hint="eastAsia" w:ascii="宋体" w:hAnsi="宋体" w:eastAsia="宋体" w:cs="宋体"/>
                <w:color w:val="auto"/>
                <w:sz w:val="24"/>
                <w:szCs w:val="24"/>
                <w:highlight w:val="none"/>
                <w:lang w:val="en-US" w:eastAsia="zh-CN"/>
              </w:rPr>
              <w:t>出具财务审计报告</w:t>
            </w:r>
            <w:r>
              <w:rPr>
                <w:rFonts w:hint="eastAsia" w:ascii="宋体" w:hAnsi="宋体" w:eastAsia="宋体" w:cs="宋体"/>
                <w:color w:val="auto"/>
                <w:sz w:val="24"/>
                <w:szCs w:val="24"/>
                <w:highlight w:val="none"/>
              </w:rPr>
              <w:t>时间为准）至少具有一项</w:t>
            </w:r>
            <w:r>
              <w:rPr>
                <w:rFonts w:hint="eastAsia" w:ascii="宋体" w:hAnsi="宋体" w:eastAsia="宋体" w:cs="宋体"/>
                <w:color w:val="auto"/>
                <w:sz w:val="24"/>
                <w:szCs w:val="24"/>
                <w:highlight w:val="none"/>
                <w:lang w:val="en-US" w:eastAsia="zh-CN"/>
              </w:rPr>
              <w:t>已完成</w:t>
            </w:r>
            <w:r>
              <w:rPr>
                <w:rFonts w:hint="eastAsia" w:ascii="宋体" w:hAnsi="宋体" w:eastAsia="宋体" w:cs="宋体"/>
                <w:color w:val="auto"/>
                <w:sz w:val="24"/>
                <w:szCs w:val="24"/>
                <w:highlight w:val="none"/>
                <w:lang w:eastAsia="zh-CN"/>
              </w:rPr>
              <w:t>投资额2.4亿元</w:t>
            </w:r>
            <w:r>
              <w:rPr>
                <w:rFonts w:hint="eastAsia" w:ascii="宋体" w:hAnsi="宋体" w:eastAsia="宋体" w:cs="宋体"/>
                <w:color w:val="auto"/>
                <w:sz w:val="24"/>
                <w:szCs w:val="24"/>
                <w:highlight w:val="none"/>
              </w:rPr>
              <w:t>及以上的公共建筑项目的财务审计业绩；</w:t>
            </w:r>
          </w:p>
          <w:p>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（2）投标人在近</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年（2019年</w:t>
            </w:r>
            <w:r>
              <w:rPr>
                <w:rFonts w:hint="eastAsia" w:ascii="宋体" w:hAnsi="宋体" w:eastAsia="宋体" w:cs="宋体"/>
                <w:color w:val="auto"/>
                <w:sz w:val="24"/>
                <w:szCs w:val="24"/>
                <w:highlight w:val="none"/>
                <w:lang w:val="en-US" w:eastAsia="zh-CN"/>
              </w:rPr>
              <w:t>8月1日</w:t>
            </w:r>
            <w:r>
              <w:rPr>
                <w:rFonts w:hint="eastAsia" w:ascii="宋体" w:hAnsi="宋体" w:eastAsia="宋体" w:cs="宋体"/>
                <w:color w:val="auto"/>
                <w:sz w:val="24"/>
                <w:szCs w:val="24"/>
                <w:highlight w:val="none"/>
              </w:rPr>
              <w:t>至今，以</w:t>
            </w:r>
            <w:r>
              <w:rPr>
                <w:rFonts w:hint="eastAsia" w:ascii="宋体" w:hAnsi="宋体" w:eastAsia="宋体" w:cs="宋体"/>
                <w:color w:val="auto"/>
                <w:sz w:val="24"/>
                <w:szCs w:val="24"/>
                <w:highlight w:val="none"/>
                <w:lang w:val="en-US" w:eastAsia="zh-CN"/>
              </w:rPr>
              <w:t>出具</w:t>
            </w:r>
            <w:r>
              <w:rPr>
                <w:rFonts w:hint="eastAsia" w:ascii="宋体" w:hAnsi="宋体" w:eastAsia="宋体" w:cs="宋体"/>
                <w:strike w:val="0"/>
                <w:dstrike w:val="0"/>
                <w:color w:val="auto"/>
                <w:sz w:val="24"/>
                <w:szCs w:val="24"/>
                <w:highlight w:val="none"/>
                <w:lang w:val="en-US" w:eastAsia="zh-CN"/>
              </w:rPr>
              <w:t>全过程造价咨询报告或工程造价审计（审核）</w:t>
            </w:r>
            <w:r>
              <w:rPr>
                <w:rFonts w:hint="eastAsia" w:ascii="宋体" w:hAnsi="宋体" w:eastAsia="宋体" w:cs="宋体"/>
                <w:color w:val="auto"/>
                <w:sz w:val="24"/>
                <w:szCs w:val="24"/>
                <w:highlight w:val="none"/>
                <w:lang w:val="en-US" w:eastAsia="zh-CN"/>
              </w:rPr>
              <w:t>报告</w:t>
            </w:r>
            <w:r>
              <w:rPr>
                <w:rFonts w:hint="eastAsia" w:ascii="宋体" w:hAnsi="宋体" w:eastAsia="宋体" w:cs="宋体"/>
                <w:color w:val="auto"/>
                <w:sz w:val="24"/>
                <w:szCs w:val="24"/>
                <w:highlight w:val="none"/>
              </w:rPr>
              <w:t>时间为准）至少具有一项</w:t>
            </w:r>
            <w:r>
              <w:rPr>
                <w:rFonts w:hint="eastAsia" w:ascii="宋体" w:hAnsi="宋体" w:eastAsia="宋体" w:cs="宋体"/>
                <w:color w:val="auto"/>
                <w:sz w:val="24"/>
                <w:szCs w:val="24"/>
                <w:highlight w:val="none"/>
                <w:lang w:val="en-US" w:eastAsia="zh-CN"/>
              </w:rPr>
              <w:t>已完成</w:t>
            </w:r>
            <w:r>
              <w:rPr>
                <w:rFonts w:hint="eastAsia" w:ascii="宋体" w:hAnsi="宋体" w:eastAsia="宋体" w:cs="宋体"/>
                <w:color w:val="auto"/>
                <w:sz w:val="24"/>
                <w:szCs w:val="24"/>
                <w:highlight w:val="none"/>
                <w:lang w:eastAsia="zh-CN"/>
              </w:rPr>
              <w:t>投资额2.4亿元</w:t>
            </w:r>
            <w:r>
              <w:rPr>
                <w:rFonts w:hint="eastAsia" w:ascii="宋体" w:hAnsi="宋体" w:eastAsia="宋体" w:cs="宋体"/>
                <w:color w:val="auto"/>
                <w:sz w:val="24"/>
                <w:szCs w:val="24"/>
                <w:highlight w:val="none"/>
              </w:rPr>
              <w:t>及以上的公共建筑项目的</w:t>
            </w:r>
            <w:r>
              <w:rPr>
                <w:rFonts w:hint="eastAsia" w:ascii="宋体" w:hAnsi="宋体" w:eastAsia="宋体" w:cs="宋体"/>
                <w:color w:val="auto"/>
                <w:sz w:val="24"/>
                <w:szCs w:val="24"/>
                <w:highlight w:val="none"/>
                <w:lang w:val="en-US" w:eastAsia="zh-CN"/>
              </w:rPr>
              <w:t>全过程造价咨询业绩或</w:t>
            </w:r>
            <w:r>
              <w:rPr>
                <w:rFonts w:hint="eastAsia" w:ascii="宋体" w:hAnsi="宋体" w:eastAsia="宋体" w:cs="宋体"/>
                <w:color w:val="auto"/>
                <w:sz w:val="24"/>
                <w:szCs w:val="24"/>
                <w:highlight w:val="none"/>
              </w:rPr>
              <w:t>工程造价审计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审核</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业绩。</w:t>
            </w:r>
          </w:p>
          <w:p>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注：</w:t>
            </w:r>
            <w:r>
              <w:rPr>
                <w:rFonts w:hint="eastAsia" w:ascii="宋体" w:hAnsi="宋体" w:eastAsia="宋体" w:cs="宋体"/>
                <w:color w:val="auto"/>
                <w:sz w:val="24"/>
                <w:szCs w:val="24"/>
                <w:highlight w:val="none"/>
              </w:rPr>
              <w:t>财务审计业绩和</w:t>
            </w:r>
            <w:r>
              <w:rPr>
                <w:rFonts w:hint="eastAsia" w:ascii="宋体" w:hAnsi="宋体" w:eastAsia="宋体" w:cs="宋体"/>
                <w:color w:val="auto"/>
                <w:sz w:val="24"/>
                <w:szCs w:val="24"/>
                <w:highlight w:val="none"/>
                <w:lang w:val="en-US" w:eastAsia="zh-CN"/>
              </w:rPr>
              <w:t>全过程造价咨询业绩或</w:t>
            </w:r>
            <w:r>
              <w:rPr>
                <w:rFonts w:hint="eastAsia" w:ascii="宋体" w:hAnsi="宋体" w:eastAsia="宋体" w:cs="宋体"/>
                <w:color w:val="auto"/>
                <w:sz w:val="24"/>
                <w:szCs w:val="24"/>
                <w:highlight w:val="none"/>
              </w:rPr>
              <w:t>工程造价</w:t>
            </w:r>
            <w:r>
              <w:rPr>
                <w:rFonts w:hint="eastAsia" w:ascii="宋体" w:hAnsi="宋体" w:eastAsia="宋体" w:cs="宋体"/>
                <w:color w:val="auto"/>
                <w:sz w:val="24"/>
                <w:szCs w:val="24"/>
                <w:highlight w:val="none"/>
                <w:lang w:val="en-US" w:eastAsia="zh-CN"/>
              </w:rPr>
              <w:t>审计（审核）业绩</w:t>
            </w:r>
            <w:r>
              <w:rPr>
                <w:rFonts w:hint="eastAsia" w:ascii="宋体" w:hAnsi="宋体" w:eastAsia="宋体" w:cs="宋体"/>
                <w:color w:val="auto"/>
                <w:sz w:val="24"/>
                <w:szCs w:val="24"/>
                <w:highlight w:val="none"/>
              </w:rPr>
              <w:t>可</w:t>
            </w:r>
            <w:r>
              <w:rPr>
                <w:rFonts w:hint="eastAsia" w:ascii="宋体" w:hAnsi="宋体" w:eastAsia="宋体" w:cs="宋体"/>
                <w:color w:val="auto"/>
                <w:sz w:val="24"/>
                <w:szCs w:val="24"/>
                <w:highlight w:val="none"/>
                <w:lang w:val="en-US" w:eastAsia="zh-CN"/>
              </w:rPr>
              <w:t>同时包含在一个合同业绩当中</w:t>
            </w:r>
            <w:r>
              <w:rPr>
                <w:rFonts w:hint="eastAsia" w:ascii="宋体" w:hAnsi="宋体" w:eastAsia="宋体" w:cs="宋体"/>
                <w:color w:val="auto"/>
                <w:sz w:val="24"/>
                <w:szCs w:val="24"/>
                <w:highlight w:val="none"/>
              </w:rPr>
              <w:t>。</w:t>
            </w:r>
          </w:p>
          <w:p>
            <w:pPr>
              <w:spacing w:line="240" w:lineRule="auto"/>
              <w:ind w:firstLine="360" w:firstLineChars="1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如为联合体投标，联合体牵头人</w:t>
            </w:r>
            <w:r>
              <w:rPr>
                <w:rFonts w:hint="eastAsia" w:ascii="宋体" w:hAnsi="宋体" w:eastAsia="宋体" w:cs="宋体"/>
                <w:color w:val="auto"/>
                <w:sz w:val="24"/>
                <w:szCs w:val="24"/>
                <w:highlight w:val="none"/>
                <w:lang w:val="en-US" w:eastAsia="zh-CN"/>
              </w:rPr>
              <w:t>须具备</w:t>
            </w:r>
            <w:r>
              <w:rPr>
                <w:rFonts w:hint="eastAsia" w:ascii="宋体" w:hAnsi="宋体" w:eastAsia="宋体" w:cs="宋体"/>
                <w:color w:val="auto"/>
                <w:sz w:val="24"/>
                <w:szCs w:val="24"/>
                <w:highlight w:val="none"/>
              </w:rPr>
              <w:t>财务审计业绩，联合体成员</w:t>
            </w:r>
            <w:r>
              <w:rPr>
                <w:rFonts w:hint="eastAsia" w:ascii="宋体" w:hAnsi="宋体" w:eastAsia="宋体" w:cs="宋体"/>
                <w:color w:val="auto"/>
                <w:sz w:val="24"/>
                <w:szCs w:val="24"/>
                <w:highlight w:val="none"/>
                <w:lang w:val="en-US" w:eastAsia="zh-CN"/>
              </w:rPr>
              <w:t>须具备全过程造价咨询业绩或</w:t>
            </w:r>
            <w:r>
              <w:rPr>
                <w:rFonts w:hint="eastAsia" w:ascii="宋体" w:hAnsi="宋体" w:eastAsia="宋体" w:cs="宋体"/>
                <w:color w:val="auto"/>
                <w:sz w:val="24"/>
                <w:szCs w:val="24"/>
                <w:highlight w:val="none"/>
              </w:rPr>
              <w:t>工程造价</w:t>
            </w:r>
            <w:r>
              <w:rPr>
                <w:rFonts w:hint="eastAsia" w:ascii="宋体" w:hAnsi="宋体" w:eastAsia="宋体" w:cs="宋体"/>
                <w:color w:val="auto"/>
                <w:sz w:val="24"/>
                <w:szCs w:val="24"/>
                <w:highlight w:val="none"/>
                <w:lang w:val="en-US" w:eastAsia="zh-CN"/>
              </w:rPr>
              <w:t>审计（审核）业绩</w:t>
            </w:r>
            <w:r>
              <w:rPr>
                <w:rFonts w:hint="eastAsia" w:ascii="宋体" w:hAnsi="宋体" w:eastAsia="宋体" w:cs="宋体"/>
                <w:color w:val="auto"/>
                <w:sz w:val="24"/>
                <w:szCs w:val="24"/>
                <w:highlight w:val="none"/>
              </w:rPr>
              <w:t>。</w:t>
            </w:r>
          </w:p>
        </w:tc>
      </w:tr>
    </w:tbl>
    <w:p>
      <w:pPr>
        <w:adjustRightInd w:val="0"/>
        <w:spacing w:line="240" w:lineRule="auto"/>
        <w:jc w:val="center"/>
        <w:rPr>
          <w:rFonts w:hint="eastAsia" w:ascii="宋体" w:hAnsi="宋体" w:eastAsia="宋体" w:cs="宋体"/>
          <w:b/>
          <w:color w:val="auto"/>
          <w:sz w:val="24"/>
          <w:szCs w:val="24"/>
          <w:highlight w:val="none"/>
        </w:rPr>
      </w:pPr>
    </w:p>
    <w:p>
      <w:pPr>
        <w:pStyle w:val="7"/>
        <w:spacing w:line="240" w:lineRule="auto"/>
        <w:rPr>
          <w:rFonts w:hint="eastAsia" w:ascii="宋体" w:hAnsi="宋体" w:eastAsia="宋体" w:cs="宋体"/>
          <w:b/>
          <w:color w:val="auto"/>
          <w:sz w:val="24"/>
          <w:szCs w:val="24"/>
          <w:highlight w:val="none"/>
        </w:rPr>
      </w:pPr>
    </w:p>
    <w:p>
      <w:pPr>
        <w:adjustRightInd w:val="0"/>
        <w:spacing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附录3 资格审查条件（</w:t>
      </w:r>
      <w:bookmarkStart w:id="6" w:name="_Hlk93740552"/>
      <w:r>
        <w:rPr>
          <w:rFonts w:hint="eastAsia" w:ascii="宋体" w:hAnsi="宋体" w:eastAsia="宋体" w:cs="宋体"/>
          <w:b/>
          <w:color w:val="auto"/>
          <w:sz w:val="24"/>
          <w:szCs w:val="24"/>
          <w:highlight w:val="none"/>
        </w:rPr>
        <w:t>信誉最低要求</w:t>
      </w:r>
      <w:bookmarkEnd w:id="6"/>
      <w:r>
        <w:rPr>
          <w:rFonts w:hint="eastAsia" w:ascii="宋体" w:hAnsi="宋体" w:eastAsia="宋体" w:cs="宋体"/>
          <w:b/>
          <w:color w:val="auto"/>
          <w:sz w:val="24"/>
          <w:szCs w:val="24"/>
          <w:highlight w:val="none"/>
        </w:rPr>
        <w:t>）</w:t>
      </w:r>
    </w:p>
    <w:tbl>
      <w:tblPr>
        <w:tblStyle w:val="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7" w:hRule="atLeast"/>
          <w:jc w:val="center"/>
        </w:trPr>
        <w:tc>
          <w:tcPr>
            <w:tcW w:w="9286" w:type="dxa"/>
            <w:noWrap w:val="0"/>
            <w:vAlign w:val="center"/>
          </w:tcPr>
          <w:p>
            <w:pPr>
              <w:pStyle w:val="8"/>
              <w:spacing w:before="0" w:beforeAutospacing="0" w:after="0" w:afterAutospacing="0" w:line="240" w:lineRule="auto"/>
              <w:ind w:firstLine="0"/>
              <w:contextualSpacing/>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信誉要求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45" w:hRule="atLeast"/>
          <w:jc w:val="center"/>
        </w:trPr>
        <w:tc>
          <w:tcPr>
            <w:tcW w:w="9286" w:type="dxa"/>
            <w:noWrap w:val="0"/>
            <w:vAlign w:val="center"/>
          </w:tcPr>
          <w:p>
            <w:pPr>
              <w:spacing w:line="240" w:lineRule="auto"/>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投标人在近</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年内（202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lang w:val="en-US" w:eastAsia="zh-CN"/>
              </w:rPr>
              <w:t>8月1日</w:t>
            </w:r>
            <w:r>
              <w:rPr>
                <w:rFonts w:hint="eastAsia" w:ascii="宋体" w:hAnsi="宋体" w:eastAsia="宋体" w:cs="宋体"/>
                <w:color w:val="auto"/>
                <w:sz w:val="24"/>
                <w:szCs w:val="24"/>
                <w:highlight w:val="none"/>
                <w:lang w:eastAsia="zh-CN"/>
              </w:rPr>
              <w:t>至今）不曾在公共建筑</w:t>
            </w:r>
            <w:r>
              <w:rPr>
                <w:rFonts w:hint="eastAsia" w:ascii="宋体" w:hAnsi="宋体" w:eastAsia="宋体" w:cs="宋体"/>
                <w:color w:val="auto"/>
                <w:sz w:val="24"/>
                <w:szCs w:val="24"/>
                <w:highlight w:val="none"/>
              </w:rPr>
              <w:t>财务审计</w:t>
            </w:r>
            <w:r>
              <w:rPr>
                <w:rFonts w:hint="eastAsia" w:ascii="宋体" w:hAnsi="宋体" w:eastAsia="宋体" w:cs="宋体"/>
                <w:color w:val="auto"/>
                <w:sz w:val="24"/>
                <w:szCs w:val="24"/>
                <w:highlight w:val="none"/>
                <w:lang w:eastAsia="zh-CN"/>
              </w:rPr>
              <w:t>和公共建筑</w:t>
            </w:r>
            <w:r>
              <w:rPr>
                <w:rFonts w:hint="eastAsia" w:ascii="宋体" w:hAnsi="宋体" w:eastAsia="宋体" w:cs="宋体"/>
                <w:color w:val="auto"/>
                <w:sz w:val="24"/>
                <w:szCs w:val="24"/>
                <w:highlight w:val="none"/>
                <w:lang w:val="en-US" w:eastAsia="zh-CN"/>
              </w:rPr>
              <w:t>全过程造价咨询或</w:t>
            </w:r>
            <w:r>
              <w:rPr>
                <w:rFonts w:hint="eastAsia" w:ascii="宋体" w:hAnsi="宋体" w:eastAsia="宋体" w:cs="宋体"/>
                <w:color w:val="auto"/>
                <w:sz w:val="24"/>
                <w:szCs w:val="24"/>
                <w:highlight w:val="none"/>
              </w:rPr>
              <w:t>工程造价审计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审核</w:t>
            </w:r>
            <w:r>
              <w:rPr>
                <w:rFonts w:hint="eastAsia" w:ascii="宋体" w:hAnsi="宋体" w:eastAsia="宋体" w:cs="宋体"/>
                <w:color w:val="auto"/>
                <w:sz w:val="24"/>
                <w:szCs w:val="24"/>
                <w:highlight w:val="none"/>
                <w:lang w:eastAsia="zh-CN"/>
              </w:rPr>
              <w:t>）项目中违约而被驱逐或因投标人自身的原因而使公共建筑</w:t>
            </w:r>
            <w:r>
              <w:rPr>
                <w:rFonts w:hint="eastAsia" w:ascii="宋体" w:hAnsi="宋体" w:eastAsia="宋体" w:cs="宋体"/>
                <w:color w:val="auto"/>
                <w:sz w:val="24"/>
                <w:szCs w:val="24"/>
                <w:highlight w:val="none"/>
              </w:rPr>
              <w:t>财务审计</w:t>
            </w:r>
            <w:r>
              <w:rPr>
                <w:rFonts w:hint="eastAsia" w:ascii="宋体" w:hAnsi="宋体" w:eastAsia="宋体" w:cs="宋体"/>
                <w:color w:val="auto"/>
                <w:sz w:val="24"/>
                <w:szCs w:val="24"/>
                <w:highlight w:val="none"/>
                <w:lang w:eastAsia="zh-CN"/>
              </w:rPr>
              <w:t>和公共建筑</w:t>
            </w:r>
            <w:r>
              <w:rPr>
                <w:rFonts w:hint="eastAsia" w:ascii="宋体" w:hAnsi="宋体" w:eastAsia="宋体" w:cs="宋体"/>
                <w:color w:val="auto"/>
                <w:sz w:val="24"/>
                <w:szCs w:val="24"/>
                <w:highlight w:val="none"/>
                <w:lang w:val="en-US" w:eastAsia="zh-CN"/>
              </w:rPr>
              <w:t>全过程造价咨询或</w:t>
            </w:r>
            <w:r>
              <w:rPr>
                <w:rFonts w:hint="eastAsia" w:ascii="宋体" w:hAnsi="宋体" w:eastAsia="宋体" w:cs="宋体"/>
                <w:color w:val="auto"/>
                <w:sz w:val="24"/>
                <w:szCs w:val="24"/>
                <w:highlight w:val="none"/>
              </w:rPr>
              <w:t>工程造价审计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审核</w:t>
            </w:r>
            <w:r>
              <w:rPr>
                <w:rFonts w:hint="eastAsia" w:ascii="宋体" w:hAnsi="宋体" w:eastAsia="宋体" w:cs="宋体"/>
                <w:color w:val="auto"/>
                <w:sz w:val="24"/>
                <w:szCs w:val="24"/>
                <w:highlight w:val="none"/>
                <w:lang w:eastAsia="zh-CN"/>
              </w:rPr>
              <w:t>）合同被解除。</w:t>
            </w:r>
          </w:p>
          <w:p>
            <w:pPr>
              <w:spacing w:line="240" w:lineRule="auto"/>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注：以联合体形式投标的，联合体所有成员均需满足要求。</w:t>
            </w:r>
          </w:p>
        </w:tc>
      </w:tr>
    </w:tbl>
    <w:p>
      <w:pPr>
        <w:adjustRightInd w:val="0"/>
        <w:spacing w:line="240" w:lineRule="auto"/>
        <w:jc w:val="center"/>
        <w:rPr>
          <w:rFonts w:hint="eastAsia" w:ascii="宋体" w:hAnsi="宋体" w:eastAsia="宋体" w:cs="宋体"/>
          <w:b/>
          <w:color w:val="auto"/>
          <w:sz w:val="24"/>
          <w:szCs w:val="24"/>
          <w:highlight w:val="none"/>
        </w:rPr>
      </w:pPr>
    </w:p>
    <w:p>
      <w:pPr>
        <w:adjustRightInd w:val="0"/>
        <w:spacing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附录4 </w:t>
      </w:r>
      <w:bookmarkStart w:id="7" w:name="_Hlk515531639"/>
      <w:r>
        <w:rPr>
          <w:rFonts w:hint="eastAsia" w:ascii="宋体" w:hAnsi="宋体" w:eastAsia="宋体" w:cs="宋体"/>
          <w:b/>
          <w:color w:val="auto"/>
          <w:sz w:val="24"/>
          <w:szCs w:val="24"/>
          <w:highlight w:val="none"/>
        </w:rPr>
        <w:t>资格审查条件（</w:t>
      </w:r>
      <w:bookmarkStart w:id="8" w:name="_Hlk93740569"/>
      <w:r>
        <w:rPr>
          <w:rFonts w:hint="eastAsia" w:ascii="宋体" w:hAnsi="宋体" w:eastAsia="宋体" w:cs="宋体"/>
          <w:b/>
          <w:color w:val="auto"/>
          <w:sz w:val="24"/>
          <w:szCs w:val="24"/>
          <w:highlight w:val="none"/>
        </w:rPr>
        <w:t>主要人员最低要求</w:t>
      </w:r>
      <w:bookmarkEnd w:id="8"/>
      <w:r>
        <w:rPr>
          <w:rFonts w:hint="eastAsia" w:ascii="宋体" w:hAnsi="宋体" w:eastAsia="宋体" w:cs="宋体"/>
          <w:b/>
          <w:color w:val="auto"/>
          <w:sz w:val="24"/>
          <w:szCs w:val="24"/>
          <w:highlight w:val="none"/>
        </w:rPr>
        <w:t>）</w:t>
      </w:r>
      <w:bookmarkEnd w:id="7"/>
    </w:p>
    <w:tbl>
      <w:tblPr>
        <w:tblStyle w:val="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68"/>
        <w:gridCol w:w="999"/>
        <w:gridCol w:w="66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jc w:val="center"/>
        </w:trPr>
        <w:tc>
          <w:tcPr>
            <w:tcW w:w="1668" w:type="dxa"/>
            <w:noWrap w:val="0"/>
            <w:vAlign w:val="center"/>
          </w:tcPr>
          <w:p>
            <w:pPr>
              <w:pStyle w:val="8"/>
              <w:adjustRightInd w:val="0"/>
              <w:snapToGrid w:val="0"/>
              <w:spacing w:before="0" w:beforeAutospacing="0" w:after="0" w:afterAutospacing="0" w:line="240" w:lineRule="auto"/>
              <w:ind w:firstLine="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   员</w:t>
            </w:r>
          </w:p>
        </w:tc>
        <w:tc>
          <w:tcPr>
            <w:tcW w:w="999" w:type="dxa"/>
            <w:noWrap w:val="0"/>
            <w:vAlign w:val="center"/>
          </w:tcPr>
          <w:p>
            <w:pPr>
              <w:pStyle w:val="8"/>
              <w:adjustRightInd w:val="0"/>
              <w:snapToGrid w:val="0"/>
              <w:spacing w:before="0" w:beforeAutospacing="0" w:after="0" w:afterAutospacing="0" w:line="240" w:lineRule="auto"/>
              <w:ind w:firstLine="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6619" w:type="dxa"/>
            <w:noWrap w:val="0"/>
            <w:vAlign w:val="center"/>
          </w:tcPr>
          <w:p>
            <w:pPr>
              <w:pStyle w:val="8"/>
              <w:adjustRightInd w:val="0"/>
              <w:snapToGrid w:val="0"/>
              <w:spacing w:before="0" w:beforeAutospacing="0" w:after="0" w:afterAutospacing="0" w:line="240" w:lineRule="auto"/>
              <w:ind w:firstLine="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68" w:type="dxa"/>
            <w:noWrap w:val="0"/>
            <w:vAlign w:val="center"/>
          </w:tcPr>
          <w:p>
            <w:pPr>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项目负责人</w:t>
            </w:r>
          </w:p>
          <w:p>
            <w:pPr>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（主审）</w:t>
            </w:r>
          </w:p>
        </w:tc>
        <w:tc>
          <w:tcPr>
            <w:tcW w:w="999" w:type="dxa"/>
            <w:noWrap w:val="0"/>
            <w:vAlign w:val="center"/>
          </w:tcPr>
          <w:p>
            <w:pPr>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6619" w:type="dxa"/>
            <w:noWrap w:val="0"/>
            <w:vAlign w:val="center"/>
          </w:tcPr>
          <w:p>
            <w:pPr>
              <w:adjustRightInd w:val="0"/>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注册会计师，注册须与投标人（或联合体牵头人）名称一致，近5年（2019年</w:t>
            </w:r>
            <w:r>
              <w:rPr>
                <w:rFonts w:hint="eastAsia" w:ascii="宋体" w:hAnsi="宋体" w:eastAsia="宋体" w:cs="宋体"/>
                <w:color w:val="auto"/>
                <w:sz w:val="24"/>
                <w:szCs w:val="24"/>
                <w:highlight w:val="none"/>
                <w:lang w:val="en-US" w:eastAsia="zh-CN"/>
              </w:rPr>
              <w:t>8月1日</w:t>
            </w:r>
            <w:r>
              <w:rPr>
                <w:rFonts w:hint="eastAsia" w:ascii="宋体" w:hAnsi="宋体" w:eastAsia="宋体" w:cs="宋体"/>
                <w:color w:val="auto"/>
                <w:sz w:val="24"/>
                <w:szCs w:val="24"/>
                <w:highlight w:val="none"/>
              </w:rPr>
              <w:t>至今，以</w:t>
            </w:r>
            <w:r>
              <w:rPr>
                <w:rFonts w:hint="eastAsia" w:ascii="宋体" w:hAnsi="宋体" w:eastAsia="宋体" w:cs="宋体"/>
                <w:color w:val="auto"/>
                <w:sz w:val="24"/>
                <w:szCs w:val="24"/>
                <w:highlight w:val="none"/>
                <w:lang w:val="en-US" w:eastAsia="zh-CN"/>
              </w:rPr>
              <w:t>出具财务审计报告</w:t>
            </w:r>
            <w:r>
              <w:rPr>
                <w:rFonts w:hint="eastAsia" w:ascii="宋体" w:hAnsi="宋体" w:eastAsia="宋体" w:cs="宋体"/>
                <w:color w:val="auto"/>
                <w:sz w:val="24"/>
                <w:szCs w:val="24"/>
                <w:highlight w:val="none"/>
              </w:rPr>
              <w:t>时间为准）至少担任过一项</w:t>
            </w:r>
            <w:r>
              <w:rPr>
                <w:rFonts w:hint="eastAsia" w:ascii="宋体" w:hAnsi="宋体" w:eastAsia="宋体" w:cs="宋体"/>
                <w:color w:val="auto"/>
                <w:sz w:val="24"/>
                <w:szCs w:val="24"/>
                <w:highlight w:val="none"/>
                <w:lang w:eastAsia="zh-CN"/>
              </w:rPr>
              <w:t>投资额2.4亿元</w:t>
            </w:r>
            <w:r>
              <w:rPr>
                <w:rFonts w:hint="eastAsia" w:ascii="宋体" w:hAnsi="宋体" w:eastAsia="宋体" w:cs="宋体"/>
                <w:color w:val="auto"/>
                <w:sz w:val="24"/>
                <w:szCs w:val="24"/>
                <w:highlight w:val="none"/>
              </w:rPr>
              <w:t>及以上的公共建筑项目财务审计</w:t>
            </w:r>
            <w:r>
              <w:rPr>
                <w:rFonts w:hint="eastAsia" w:ascii="宋体" w:hAnsi="宋体" w:eastAsia="宋体" w:cs="宋体"/>
                <w:color w:val="auto"/>
                <w:sz w:val="24"/>
                <w:szCs w:val="24"/>
                <w:highlight w:val="none"/>
                <w:lang w:eastAsia="zh-CN"/>
              </w:rPr>
              <w:t>业绩</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项目</w:t>
            </w:r>
            <w:r>
              <w:rPr>
                <w:rFonts w:hint="eastAsia" w:ascii="宋体" w:hAnsi="宋体" w:eastAsia="宋体" w:cs="宋体"/>
                <w:color w:val="auto"/>
                <w:sz w:val="24"/>
                <w:szCs w:val="24"/>
                <w:highlight w:val="none"/>
              </w:rPr>
              <w:t>负责人</w:t>
            </w:r>
            <w:r>
              <w:rPr>
                <w:rFonts w:hint="eastAsia" w:ascii="宋体" w:hAnsi="宋体" w:eastAsia="宋体" w:cs="宋体"/>
                <w:color w:val="auto"/>
                <w:sz w:val="24"/>
                <w:szCs w:val="24"/>
                <w:highlight w:val="none"/>
                <w:lang w:eastAsia="zh-CN"/>
              </w:rPr>
              <w:t>（财务审计主管）</w:t>
            </w:r>
            <w:r>
              <w:rPr>
                <w:rFonts w:hint="eastAsia" w:ascii="宋体" w:hAnsi="宋体" w:eastAsia="宋体" w:cs="宋体"/>
                <w:color w:val="auto"/>
                <w:sz w:val="24"/>
                <w:szCs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68" w:type="dxa"/>
            <w:noWrap w:val="0"/>
            <w:vAlign w:val="center"/>
          </w:tcPr>
          <w:p>
            <w:pPr>
              <w:adjustRightInd w:val="0"/>
              <w:snapToGrid w:val="0"/>
              <w:spacing w:line="24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财务审计</w:t>
            </w:r>
            <w:r>
              <w:rPr>
                <w:rFonts w:hint="eastAsia" w:ascii="宋体" w:hAnsi="宋体" w:eastAsia="宋体" w:cs="宋体"/>
                <w:color w:val="auto"/>
                <w:sz w:val="24"/>
                <w:szCs w:val="24"/>
                <w:highlight w:val="none"/>
                <w:lang w:val="en-US" w:eastAsia="zh-CN"/>
              </w:rPr>
              <w:t>主管</w:t>
            </w:r>
          </w:p>
        </w:tc>
        <w:tc>
          <w:tcPr>
            <w:tcW w:w="999" w:type="dxa"/>
            <w:noWrap w:val="0"/>
            <w:vAlign w:val="center"/>
          </w:tcPr>
          <w:p>
            <w:pPr>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6619" w:type="dxa"/>
            <w:noWrap w:val="0"/>
            <w:vAlign w:val="center"/>
          </w:tcPr>
          <w:p>
            <w:pPr>
              <w:adjustRightInd w:val="0"/>
              <w:snapToGrid w:val="0"/>
              <w:spacing w:line="24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注册会计师，注册须与投标人（或联合体牵头人）名称一致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近5年（2019年</w:t>
            </w:r>
            <w:r>
              <w:rPr>
                <w:rFonts w:hint="eastAsia" w:ascii="宋体" w:hAnsi="宋体" w:eastAsia="宋体" w:cs="宋体"/>
                <w:color w:val="auto"/>
                <w:sz w:val="24"/>
                <w:szCs w:val="24"/>
                <w:highlight w:val="none"/>
                <w:lang w:val="en-US" w:eastAsia="zh-CN"/>
              </w:rPr>
              <w:t>8月1日</w:t>
            </w:r>
            <w:r>
              <w:rPr>
                <w:rFonts w:hint="eastAsia" w:ascii="宋体" w:hAnsi="宋体" w:eastAsia="宋体" w:cs="宋体"/>
                <w:color w:val="auto"/>
                <w:sz w:val="24"/>
                <w:szCs w:val="24"/>
                <w:highlight w:val="none"/>
              </w:rPr>
              <w:t>至今，以</w:t>
            </w:r>
            <w:r>
              <w:rPr>
                <w:rFonts w:hint="eastAsia" w:ascii="宋体" w:hAnsi="宋体" w:eastAsia="宋体" w:cs="宋体"/>
                <w:color w:val="auto"/>
                <w:sz w:val="24"/>
                <w:szCs w:val="24"/>
                <w:highlight w:val="none"/>
                <w:lang w:val="en-US" w:eastAsia="zh-CN"/>
              </w:rPr>
              <w:t>出具财务审计报告</w:t>
            </w:r>
            <w:r>
              <w:rPr>
                <w:rFonts w:hint="eastAsia" w:ascii="宋体" w:hAnsi="宋体" w:eastAsia="宋体" w:cs="宋体"/>
                <w:color w:val="auto"/>
                <w:sz w:val="24"/>
                <w:szCs w:val="24"/>
                <w:highlight w:val="none"/>
              </w:rPr>
              <w:t>时间为准）至少担任过一项</w:t>
            </w:r>
            <w:r>
              <w:rPr>
                <w:rFonts w:hint="eastAsia" w:ascii="宋体" w:hAnsi="宋体" w:eastAsia="宋体" w:cs="宋体"/>
                <w:color w:val="auto"/>
                <w:sz w:val="24"/>
                <w:szCs w:val="24"/>
                <w:highlight w:val="none"/>
                <w:lang w:eastAsia="zh-CN"/>
              </w:rPr>
              <w:t>投资额2.4亿元</w:t>
            </w:r>
            <w:r>
              <w:rPr>
                <w:rFonts w:hint="eastAsia" w:ascii="宋体" w:hAnsi="宋体" w:eastAsia="宋体" w:cs="宋体"/>
                <w:color w:val="auto"/>
                <w:sz w:val="24"/>
                <w:szCs w:val="24"/>
                <w:highlight w:val="none"/>
              </w:rPr>
              <w:t>及以上的公共建筑项目的财务审计</w:t>
            </w:r>
            <w:r>
              <w:rPr>
                <w:rFonts w:hint="eastAsia" w:ascii="宋体" w:hAnsi="宋体" w:eastAsia="宋体" w:cs="宋体"/>
                <w:color w:val="auto"/>
                <w:sz w:val="24"/>
                <w:szCs w:val="24"/>
                <w:highlight w:val="none"/>
                <w:lang w:eastAsia="zh-CN"/>
              </w:rPr>
              <w:t>业绩</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财务审计主管（项目负责人）</w:t>
            </w:r>
            <w:r>
              <w:rPr>
                <w:rFonts w:hint="eastAsia" w:ascii="宋体" w:hAnsi="宋体" w:eastAsia="宋体" w:cs="宋体"/>
                <w:color w:val="auto"/>
                <w:sz w:val="24"/>
                <w:szCs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68" w:type="dxa"/>
            <w:noWrap w:val="0"/>
            <w:vAlign w:val="center"/>
          </w:tcPr>
          <w:p>
            <w:pPr>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造价审核主管</w:t>
            </w:r>
          </w:p>
        </w:tc>
        <w:tc>
          <w:tcPr>
            <w:tcW w:w="999" w:type="dxa"/>
            <w:noWrap w:val="0"/>
            <w:vAlign w:val="center"/>
          </w:tcPr>
          <w:p>
            <w:pPr>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6619" w:type="dxa"/>
            <w:noWrap w:val="0"/>
            <w:vAlign w:val="center"/>
          </w:tcPr>
          <w:p>
            <w:pPr>
              <w:adjustRightInd w:val="0"/>
              <w:snapToGrid w:val="0"/>
              <w:spacing w:line="24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一级注册造价工程师（土木建筑工程），注册须与投标人（或联合体成员）名称一致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近5年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2019年</w:t>
            </w:r>
            <w:r>
              <w:rPr>
                <w:rFonts w:hint="eastAsia" w:ascii="宋体" w:hAnsi="宋体" w:eastAsia="宋体" w:cs="宋体"/>
                <w:color w:val="auto"/>
                <w:sz w:val="24"/>
                <w:szCs w:val="24"/>
                <w:highlight w:val="none"/>
                <w:lang w:val="en-US" w:eastAsia="zh-CN"/>
              </w:rPr>
              <w:t>8月1日</w:t>
            </w:r>
            <w:r>
              <w:rPr>
                <w:rFonts w:hint="eastAsia" w:ascii="宋体" w:hAnsi="宋体" w:eastAsia="宋体" w:cs="宋体"/>
                <w:color w:val="auto"/>
                <w:sz w:val="24"/>
                <w:szCs w:val="24"/>
                <w:highlight w:val="none"/>
              </w:rPr>
              <w:t>至今，以</w:t>
            </w:r>
            <w:r>
              <w:rPr>
                <w:rFonts w:hint="eastAsia" w:ascii="宋体" w:hAnsi="宋体" w:eastAsia="宋体" w:cs="宋体"/>
                <w:color w:val="auto"/>
                <w:sz w:val="24"/>
                <w:szCs w:val="24"/>
                <w:highlight w:val="none"/>
                <w:lang w:val="en-US" w:eastAsia="zh-CN"/>
              </w:rPr>
              <w:t>出具全过程造价咨询报告或</w:t>
            </w:r>
            <w:r>
              <w:rPr>
                <w:rFonts w:hint="eastAsia" w:ascii="宋体" w:hAnsi="宋体" w:eastAsia="宋体" w:cs="宋体"/>
                <w:strike w:val="0"/>
                <w:dstrike w:val="0"/>
                <w:color w:val="auto"/>
                <w:sz w:val="24"/>
                <w:szCs w:val="24"/>
                <w:highlight w:val="none"/>
                <w:lang w:val="en-US" w:eastAsia="zh-CN"/>
              </w:rPr>
              <w:t>工程造价审计（审核）</w:t>
            </w:r>
            <w:r>
              <w:rPr>
                <w:rFonts w:hint="eastAsia" w:ascii="宋体" w:hAnsi="宋体" w:eastAsia="宋体" w:cs="宋体"/>
                <w:color w:val="auto"/>
                <w:sz w:val="24"/>
                <w:szCs w:val="24"/>
                <w:highlight w:val="none"/>
                <w:lang w:val="en-US" w:eastAsia="zh-CN"/>
              </w:rPr>
              <w:t>报告</w:t>
            </w:r>
            <w:r>
              <w:rPr>
                <w:rFonts w:hint="eastAsia" w:ascii="宋体" w:hAnsi="宋体" w:eastAsia="宋体" w:cs="宋体"/>
                <w:color w:val="auto"/>
                <w:sz w:val="24"/>
                <w:szCs w:val="24"/>
                <w:highlight w:val="none"/>
              </w:rPr>
              <w:t>时间为准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至少担任过一项</w:t>
            </w:r>
            <w:r>
              <w:rPr>
                <w:rFonts w:hint="eastAsia" w:ascii="宋体" w:hAnsi="宋体" w:eastAsia="宋体" w:cs="宋体"/>
                <w:color w:val="auto"/>
                <w:sz w:val="24"/>
                <w:szCs w:val="24"/>
                <w:highlight w:val="none"/>
                <w:lang w:eastAsia="zh-CN"/>
              </w:rPr>
              <w:t>投资额2.4亿元</w:t>
            </w:r>
            <w:r>
              <w:rPr>
                <w:rFonts w:hint="eastAsia" w:ascii="宋体" w:hAnsi="宋体" w:eastAsia="宋体" w:cs="宋体"/>
                <w:color w:val="auto"/>
                <w:sz w:val="24"/>
                <w:szCs w:val="24"/>
                <w:highlight w:val="none"/>
              </w:rPr>
              <w:t>及以上的公共建筑项目的</w:t>
            </w:r>
            <w:r>
              <w:rPr>
                <w:rFonts w:hint="eastAsia" w:ascii="宋体" w:hAnsi="宋体" w:eastAsia="宋体" w:cs="宋体"/>
                <w:color w:val="auto"/>
                <w:sz w:val="24"/>
                <w:szCs w:val="24"/>
                <w:highlight w:val="none"/>
                <w:lang w:val="en-US" w:eastAsia="zh-CN"/>
              </w:rPr>
              <w:t>全过程造价咨询或</w:t>
            </w:r>
            <w:r>
              <w:rPr>
                <w:rFonts w:hint="eastAsia" w:ascii="宋体" w:hAnsi="宋体" w:eastAsia="宋体" w:cs="宋体"/>
                <w:color w:val="auto"/>
                <w:sz w:val="24"/>
                <w:szCs w:val="24"/>
                <w:highlight w:val="none"/>
              </w:rPr>
              <w:t>工程造价审计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审核</w:t>
            </w:r>
            <w:r>
              <w:rPr>
                <w:rFonts w:hint="eastAsia" w:ascii="宋体" w:hAnsi="宋体" w:eastAsia="宋体" w:cs="宋体"/>
                <w:color w:val="auto"/>
                <w:sz w:val="24"/>
                <w:szCs w:val="24"/>
                <w:highlight w:val="none"/>
                <w:lang w:eastAsia="zh-CN"/>
              </w:rPr>
              <w:t>）业绩</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造价审核主管</w:t>
            </w:r>
            <w:r>
              <w:rPr>
                <w:rFonts w:hint="eastAsia" w:ascii="宋体" w:hAnsi="宋体" w:eastAsia="宋体" w:cs="宋体"/>
                <w:color w:val="auto"/>
                <w:sz w:val="24"/>
                <w:szCs w:val="24"/>
                <w:highlight w:val="none"/>
                <w:lang w:eastAsia="zh-CN"/>
              </w:rPr>
              <w:t>（负责人）</w:t>
            </w:r>
            <w:r>
              <w:rPr>
                <w:rFonts w:hint="eastAsia" w:ascii="宋体" w:hAnsi="宋体" w:eastAsia="宋体" w:cs="宋体"/>
                <w:color w:val="auto"/>
                <w:sz w:val="24"/>
                <w:szCs w:val="24"/>
                <w:highlight w:val="none"/>
              </w:rPr>
              <w:t>。</w:t>
            </w:r>
          </w:p>
        </w:tc>
      </w:tr>
    </w:tbl>
    <w:p>
      <w:pPr>
        <w:spacing w:line="240" w:lineRule="auto"/>
        <w:rPr>
          <w:rFonts w:hint="eastAsia" w:ascii="宋体" w:hAnsi="宋体" w:eastAsia="宋体" w:cs="宋体"/>
          <w:color w:val="auto"/>
          <w:sz w:val="24"/>
          <w:szCs w:val="24"/>
          <w:highlight w:val="none"/>
        </w:rPr>
      </w:pPr>
    </w:p>
    <w:p>
      <w:pPr>
        <w:adjustRightInd w:val="0"/>
        <w:spacing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附录5 资格审查条件(</w:t>
      </w:r>
      <w:r>
        <w:rPr>
          <w:rFonts w:hint="eastAsia" w:ascii="宋体" w:hAnsi="宋体" w:eastAsia="宋体" w:cs="宋体"/>
          <w:b/>
          <w:color w:val="auto"/>
          <w:sz w:val="24"/>
          <w:szCs w:val="24"/>
          <w:highlight w:val="none"/>
          <w:lang w:val="en-US" w:eastAsia="zh-CN"/>
        </w:rPr>
        <w:t>其他</w:t>
      </w:r>
      <w:r>
        <w:rPr>
          <w:rFonts w:hint="eastAsia" w:ascii="宋体" w:hAnsi="宋体" w:eastAsia="宋体" w:cs="宋体"/>
          <w:b/>
          <w:color w:val="auto"/>
          <w:sz w:val="24"/>
          <w:szCs w:val="24"/>
          <w:highlight w:val="none"/>
        </w:rPr>
        <w:t>人员最低要求)</w:t>
      </w:r>
    </w:p>
    <w:tbl>
      <w:tblPr>
        <w:tblStyle w:val="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68"/>
        <w:gridCol w:w="999"/>
        <w:gridCol w:w="66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jc w:val="center"/>
        </w:trPr>
        <w:tc>
          <w:tcPr>
            <w:tcW w:w="1668" w:type="dxa"/>
            <w:noWrap w:val="0"/>
            <w:vAlign w:val="center"/>
          </w:tcPr>
          <w:p>
            <w:pPr>
              <w:pStyle w:val="8"/>
              <w:adjustRightInd w:val="0"/>
              <w:snapToGrid w:val="0"/>
              <w:spacing w:before="0" w:beforeAutospacing="0" w:after="0" w:afterAutospacing="0" w:line="240" w:lineRule="auto"/>
              <w:ind w:firstLine="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   员</w:t>
            </w:r>
          </w:p>
        </w:tc>
        <w:tc>
          <w:tcPr>
            <w:tcW w:w="999" w:type="dxa"/>
            <w:noWrap w:val="0"/>
            <w:vAlign w:val="center"/>
          </w:tcPr>
          <w:p>
            <w:pPr>
              <w:pStyle w:val="8"/>
              <w:adjustRightInd w:val="0"/>
              <w:snapToGrid w:val="0"/>
              <w:spacing w:before="0" w:beforeAutospacing="0" w:after="0" w:afterAutospacing="0" w:line="240" w:lineRule="auto"/>
              <w:ind w:firstLine="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6619" w:type="dxa"/>
            <w:noWrap w:val="0"/>
            <w:vAlign w:val="center"/>
          </w:tcPr>
          <w:p>
            <w:pPr>
              <w:pStyle w:val="8"/>
              <w:adjustRightInd w:val="0"/>
              <w:snapToGrid w:val="0"/>
              <w:spacing w:before="0" w:beforeAutospacing="0" w:after="0" w:afterAutospacing="0" w:line="240" w:lineRule="auto"/>
              <w:ind w:firstLine="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68" w:type="dxa"/>
            <w:noWrap w:val="0"/>
            <w:vAlign w:val="center"/>
          </w:tcPr>
          <w:p>
            <w:pPr>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财务审计人员</w:t>
            </w:r>
          </w:p>
        </w:tc>
        <w:tc>
          <w:tcPr>
            <w:tcW w:w="999" w:type="dxa"/>
            <w:noWrap w:val="0"/>
            <w:vAlign w:val="center"/>
          </w:tcPr>
          <w:p>
            <w:pPr>
              <w:adjustRightInd w:val="0"/>
              <w:snapToGrid w:val="0"/>
              <w:spacing w:line="24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p>
        </w:tc>
        <w:tc>
          <w:tcPr>
            <w:tcW w:w="6619" w:type="dxa"/>
            <w:noWrap w:val="0"/>
            <w:vAlign w:val="center"/>
          </w:tcPr>
          <w:p>
            <w:pPr>
              <w:adjustRightInd w:val="0"/>
              <w:snapToGrid w:val="0"/>
              <w:spacing w:line="24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其中</w:t>
            </w:r>
            <w:r>
              <w:rPr>
                <w:rFonts w:hint="eastAsia" w:ascii="宋体" w:hAnsi="宋体" w:eastAsia="宋体" w:cs="宋体"/>
                <w:color w:val="auto"/>
                <w:sz w:val="24"/>
                <w:szCs w:val="24"/>
                <w:highlight w:val="none"/>
              </w:rPr>
              <w:t>1人</w:t>
            </w:r>
            <w:r>
              <w:rPr>
                <w:rFonts w:hint="eastAsia" w:ascii="宋体" w:hAnsi="宋体" w:eastAsia="宋体" w:cs="宋体"/>
                <w:color w:val="auto"/>
                <w:sz w:val="24"/>
                <w:szCs w:val="24"/>
                <w:highlight w:val="none"/>
                <w:lang w:val="en-US" w:eastAsia="zh-CN"/>
              </w:rPr>
              <w:t>须</w:t>
            </w:r>
            <w:r>
              <w:rPr>
                <w:rFonts w:hint="eastAsia" w:ascii="宋体" w:hAnsi="宋体" w:eastAsia="宋体" w:cs="宋体"/>
                <w:color w:val="auto"/>
                <w:sz w:val="24"/>
                <w:szCs w:val="24"/>
                <w:highlight w:val="none"/>
              </w:rPr>
              <w:t>为注册会计师</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且</w:t>
            </w:r>
            <w:r>
              <w:rPr>
                <w:rFonts w:hint="eastAsia" w:ascii="宋体" w:hAnsi="宋体" w:eastAsia="宋体" w:cs="宋体"/>
                <w:color w:val="auto"/>
                <w:sz w:val="24"/>
                <w:szCs w:val="24"/>
                <w:highlight w:val="none"/>
              </w:rPr>
              <w:t>注册须与投标人（或联合体牵头人）名称一致。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68" w:type="dxa"/>
            <w:noWrap w:val="0"/>
            <w:vAlign w:val="center"/>
          </w:tcPr>
          <w:p>
            <w:pPr>
              <w:adjustRightInd w:val="0"/>
              <w:snapToGrid w:val="0"/>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造价审计</w:t>
            </w:r>
            <w:r>
              <w:rPr>
                <w:rFonts w:hint="eastAsia" w:ascii="宋体" w:hAnsi="宋体" w:eastAsia="宋体" w:cs="宋体"/>
                <w:color w:val="auto"/>
                <w:sz w:val="24"/>
                <w:szCs w:val="24"/>
                <w:highlight w:val="none"/>
                <w:lang w:val="en-US" w:eastAsia="zh-CN"/>
              </w:rPr>
              <w:t>人员</w:t>
            </w:r>
          </w:p>
        </w:tc>
        <w:tc>
          <w:tcPr>
            <w:tcW w:w="999" w:type="dxa"/>
            <w:noWrap w:val="0"/>
            <w:vAlign w:val="center"/>
          </w:tcPr>
          <w:p>
            <w:pPr>
              <w:adjustRightInd w:val="0"/>
              <w:snapToGrid w:val="0"/>
              <w:spacing w:line="24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w:t>
            </w:r>
          </w:p>
        </w:tc>
        <w:tc>
          <w:tcPr>
            <w:tcW w:w="6619" w:type="dxa"/>
            <w:noWrap w:val="0"/>
            <w:vAlign w:val="center"/>
          </w:tcPr>
          <w:p>
            <w:pPr>
              <w:adjustRightInd w:val="0"/>
              <w:snapToGrid w:val="0"/>
              <w:spacing w:line="240" w:lineRule="auto"/>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其中2</w:t>
            </w:r>
            <w:r>
              <w:rPr>
                <w:rFonts w:hint="eastAsia" w:ascii="宋体" w:hAnsi="宋体" w:eastAsia="宋体" w:cs="宋体"/>
                <w:color w:val="auto"/>
                <w:sz w:val="24"/>
                <w:szCs w:val="24"/>
                <w:highlight w:val="none"/>
              </w:rPr>
              <w:t>人</w:t>
            </w:r>
            <w:r>
              <w:rPr>
                <w:rFonts w:hint="eastAsia" w:ascii="宋体" w:hAnsi="宋体" w:eastAsia="宋体" w:cs="宋体"/>
                <w:color w:val="auto"/>
                <w:sz w:val="24"/>
                <w:szCs w:val="24"/>
                <w:highlight w:val="none"/>
                <w:lang w:val="en-US" w:eastAsia="zh-CN"/>
              </w:rPr>
              <w:t>须为</w:t>
            </w:r>
            <w:r>
              <w:rPr>
                <w:rFonts w:hint="eastAsia" w:ascii="宋体" w:hAnsi="宋体" w:eastAsia="宋体" w:cs="宋体"/>
                <w:color w:val="auto"/>
                <w:sz w:val="24"/>
                <w:szCs w:val="24"/>
                <w:highlight w:val="none"/>
              </w:rPr>
              <w:t>一级注册造价工程师，其中1</w:t>
            </w:r>
            <w:r>
              <w:rPr>
                <w:rFonts w:hint="eastAsia" w:ascii="宋体" w:hAnsi="宋体" w:eastAsia="宋体" w:cs="宋体"/>
                <w:color w:val="auto"/>
                <w:sz w:val="24"/>
                <w:szCs w:val="24"/>
                <w:highlight w:val="none"/>
                <w:lang w:val="en-US" w:eastAsia="zh-CN"/>
              </w:rPr>
              <w:t>人为</w:t>
            </w:r>
            <w:r>
              <w:rPr>
                <w:rFonts w:hint="eastAsia" w:ascii="宋体" w:hAnsi="宋体" w:eastAsia="宋体" w:cs="宋体"/>
                <w:color w:val="auto"/>
                <w:sz w:val="24"/>
                <w:szCs w:val="24"/>
                <w:highlight w:val="none"/>
              </w:rPr>
              <w:t>土木建筑工程专业造价工程师，1个</w:t>
            </w:r>
            <w:r>
              <w:rPr>
                <w:rFonts w:hint="eastAsia" w:ascii="宋体" w:hAnsi="宋体" w:eastAsia="宋体" w:cs="宋体"/>
                <w:color w:val="auto"/>
                <w:sz w:val="24"/>
                <w:szCs w:val="24"/>
                <w:highlight w:val="none"/>
                <w:lang w:val="en-US" w:eastAsia="zh-CN"/>
              </w:rPr>
              <w:t>为</w:t>
            </w:r>
            <w:r>
              <w:rPr>
                <w:rFonts w:hint="eastAsia" w:ascii="宋体" w:hAnsi="宋体" w:eastAsia="宋体" w:cs="宋体"/>
                <w:color w:val="auto"/>
                <w:sz w:val="24"/>
                <w:szCs w:val="24"/>
                <w:highlight w:val="none"/>
              </w:rPr>
              <w:t>安装</w:t>
            </w:r>
            <w:r>
              <w:rPr>
                <w:rFonts w:hint="eastAsia" w:ascii="宋体" w:hAnsi="宋体" w:eastAsia="宋体" w:cs="宋体"/>
                <w:color w:val="auto"/>
                <w:sz w:val="24"/>
                <w:szCs w:val="24"/>
                <w:highlight w:val="none"/>
                <w:lang w:eastAsia="zh-CN"/>
              </w:rPr>
              <w:t>工程</w:t>
            </w:r>
            <w:r>
              <w:rPr>
                <w:rFonts w:hint="eastAsia" w:ascii="宋体" w:hAnsi="宋体" w:eastAsia="宋体" w:cs="宋体"/>
                <w:color w:val="auto"/>
                <w:sz w:val="24"/>
                <w:szCs w:val="24"/>
                <w:highlight w:val="none"/>
              </w:rPr>
              <w:t>专业造价工程师</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且</w:t>
            </w:r>
            <w:r>
              <w:rPr>
                <w:rFonts w:hint="eastAsia" w:ascii="宋体" w:hAnsi="宋体" w:eastAsia="宋体" w:cs="宋体"/>
                <w:color w:val="auto"/>
                <w:sz w:val="24"/>
                <w:szCs w:val="24"/>
                <w:highlight w:val="none"/>
              </w:rPr>
              <w:t>注册单位须与投标人（或联合体成员）名称一致。</w:t>
            </w:r>
          </w:p>
        </w:tc>
      </w:tr>
    </w:tbl>
    <w:p>
      <w:pPr>
        <w:spacing w:line="360" w:lineRule="auto"/>
        <w:rPr>
          <w:b/>
          <w:color w:val="auto"/>
          <w:sz w:val="24"/>
          <w:highlight w:val="none"/>
        </w:rPr>
      </w:pPr>
      <w:r>
        <w:rPr>
          <w:color w:val="auto"/>
          <w:highlight w:val="none"/>
        </w:rPr>
        <w:br w:type="page"/>
      </w:r>
      <w:r>
        <w:rPr>
          <w:b/>
          <w:color w:val="auto"/>
          <w:sz w:val="24"/>
          <w:highlight w:val="none"/>
        </w:rPr>
        <w:t>附件2：评标办法</w:t>
      </w:r>
    </w:p>
    <w:p>
      <w:pPr>
        <w:pStyle w:val="15"/>
        <w:spacing w:line="276" w:lineRule="auto"/>
        <w:rPr>
          <w:rFonts w:ascii="Times New Roman" w:hAnsi="Times New Roman" w:eastAsia="宋体"/>
          <w:color w:val="auto"/>
          <w:sz w:val="30"/>
          <w:szCs w:val="30"/>
          <w:highlight w:val="none"/>
        </w:rPr>
      </w:pPr>
      <w:bookmarkStart w:id="9" w:name="_Hlk93740604"/>
      <w:bookmarkStart w:id="10" w:name="_Toc18708"/>
      <w:bookmarkStart w:id="11" w:name="_Toc509660966"/>
      <w:bookmarkStart w:id="12" w:name="_Toc509659998"/>
      <w:bookmarkStart w:id="13" w:name="_Toc450319202"/>
      <w:bookmarkStart w:id="14" w:name="_Toc502992691"/>
      <w:bookmarkStart w:id="15" w:name="_Toc514238202"/>
      <w:bookmarkStart w:id="16" w:name="_Toc459307890"/>
      <w:bookmarkStart w:id="17" w:name="_Toc444271617"/>
      <w:bookmarkStart w:id="18" w:name="_Toc445382083"/>
      <w:bookmarkStart w:id="19" w:name="_Toc445222503"/>
      <w:bookmarkStart w:id="20" w:name="_Toc444088432"/>
      <w:r>
        <w:rPr>
          <w:rFonts w:ascii="Times New Roman" w:hAnsi="Times New Roman" w:eastAsia="宋体"/>
          <w:color w:val="auto"/>
          <w:sz w:val="30"/>
          <w:szCs w:val="30"/>
          <w:highlight w:val="none"/>
        </w:rPr>
        <w:t>评标办法</w:t>
      </w:r>
      <w:bookmarkEnd w:id="9"/>
      <w:r>
        <w:rPr>
          <w:rFonts w:ascii="Times New Roman" w:hAnsi="Times New Roman" w:eastAsia="宋体"/>
          <w:color w:val="auto"/>
          <w:sz w:val="30"/>
          <w:szCs w:val="30"/>
          <w:highlight w:val="none"/>
        </w:rPr>
        <w:t>（综合评估法）</w:t>
      </w:r>
      <w:bookmarkEnd w:id="10"/>
      <w:bookmarkEnd w:id="11"/>
      <w:bookmarkEnd w:id="12"/>
      <w:bookmarkEnd w:id="13"/>
      <w:bookmarkEnd w:id="14"/>
      <w:bookmarkEnd w:id="15"/>
      <w:bookmarkEnd w:id="16"/>
    </w:p>
    <w:bookmarkEnd w:id="1"/>
    <w:bookmarkEnd w:id="17"/>
    <w:bookmarkEnd w:id="18"/>
    <w:bookmarkEnd w:id="19"/>
    <w:bookmarkEnd w:id="20"/>
    <w:p>
      <w:pPr>
        <w:pStyle w:val="15"/>
        <w:spacing w:line="276" w:lineRule="auto"/>
        <w:jc w:val="center"/>
        <w:rPr>
          <w:rFonts w:ascii="Times New Roman" w:hAnsi="Times New Roman" w:eastAsia="宋体"/>
          <w:color w:val="auto"/>
          <w:sz w:val="24"/>
          <w:szCs w:val="30"/>
          <w:highlight w:val="none"/>
        </w:rPr>
      </w:pPr>
      <w:bookmarkStart w:id="21" w:name="_Toc20123"/>
      <w:bookmarkStart w:id="22" w:name="_Toc259638685"/>
      <w:r>
        <w:rPr>
          <w:rFonts w:ascii="Times New Roman" w:hAnsi="Times New Roman" w:eastAsia="宋体"/>
          <w:color w:val="auto"/>
          <w:sz w:val="24"/>
          <w:szCs w:val="30"/>
          <w:highlight w:val="none"/>
        </w:rPr>
        <w:t>评标办法前附表</w:t>
      </w:r>
      <w:bookmarkEnd w:id="21"/>
    </w:p>
    <w:tbl>
      <w:tblPr>
        <w:tblStyle w:val="9"/>
        <w:tblW w:w="93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9"/>
        <w:gridCol w:w="1254"/>
        <w:gridCol w:w="7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blHeader/>
          <w:jc w:val="center"/>
        </w:trPr>
        <w:tc>
          <w:tcPr>
            <w:tcW w:w="839" w:type="dxa"/>
            <w:noWrap w:val="0"/>
            <w:vAlign w:val="center"/>
          </w:tcPr>
          <w:p>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条款号</w:t>
            </w:r>
          </w:p>
        </w:tc>
        <w:tc>
          <w:tcPr>
            <w:tcW w:w="1254" w:type="dxa"/>
            <w:noWrap w:val="0"/>
            <w:vAlign w:val="center"/>
          </w:tcPr>
          <w:p>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条款名称</w:t>
            </w:r>
          </w:p>
        </w:tc>
        <w:tc>
          <w:tcPr>
            <w:tcW w:w="7250" w:type="dxa"/>
            <w:noWrap w:val="0"/>
            <w:vAlign w:val="center"/>
          </w:tcPr>
          <w:p>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评审因素与评审标准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9" w:type="dxa"/>
            <w:noWrap w:val="0"/>
            <w:vAlign w:val="center"/>
          </w:tcPr>
          <w:p>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254" w:type="dxa"/>
            <w:noWrap w:val="0"/>
            <w:vAlign w:val="center"/>
          </w:tcPr>
          <w:p>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评标办法</w:t>
            </w:r>
          </w:p>
        </w:tc>
        <w:tc>
          <w:tcPr>
            <w:tcW w:w="7250" w:type="dxa"/>
            <w:noWrap w:val="0"/>
            <w:vAlign w:val="center"/>
          </w:tcPr>
          <w:p>
            <w:pPr>
              <w:tabs>
                <w:tab w:val="left" w:pos="3060"/>
              </w:tabs>
              <w:spacing w:line="240" w:lineRule="auto"/>
              <w:ind w:firstLine="240" w:firstLineChars="1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次评标采用综合评估法，评标委员会对满足招标文件实质性要求的投标文件，按照本章第2.2款规定的评分标准进行打分，并按得分由高到低顺序推荐1-3名中标候选人。当综合评分相等时，评标委员会依次按照以下优先顺序推荐中标候选人：</w:t>
            </w:r>
          </w:p>
          <w:p>
            <w:pPr>
              <w:tabs>
                <w:tab w:val="left" w:pos="3060"/>
              </w:tabs>
              <w:spacing w:line="240" w:lineRule="auto"/>
              <w:ind w:firstLine="240" w:firstLineChars="1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（1）评标价低的投标人优先；</w:t>
            </w:r>
          </w:p>
          <w:p>
            <w:pPr>
              <w:tabs>
                <w:tab w:val="left" w:pos="3060"/>
              </w:tabs>
              <w:spacing w:line="240" w:lineRule="auto"/>
              <w:ind w:firstLine="240" w:firstLineChars="1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（2）审计实施方案得分较高的投标人优先；</w:t>
            </w:r>
          </w:p>
          <w:p>
            <w:pPr>
              <w:tabs>
                <w:tab w:val="left" w:pos="3060"/>
              </w:tabs>
              <w:spacing w:line="240" w:lineRule="auto"/>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bCs/>
                <w:color w:val="auto"/>
                <w:sz w:val="24"/>
                <w:szCs w:val="24"/>
                <w:highlight w:val="none"/>
              </w:rPr>
              <w:t>（3）投标人近5年内满足资格审查条件（业绩最低条件）要求的业绩金额累计较高的优先。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839" w:type="dxa"/>
            <w:noWrap w:val="0"/>
            <w:vAlign w:val="center"/>
          </w:tcPr>
          <w:p>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w:t>
            </w:r>
          </w:p>
          <w:p>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w:t>
            </w:r>
          </w:p>
        </w:tc>
        <w:tc>
          <w:tcPr>
            <w:tcW w:w="1254" w:type="dxa"/>
            <w:noWrap w:val="0"/>
            <w:vAlign w:val="center"/>
          </w:tcPr>
          <w:p>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形式评审与响应性评审标准</w:t>
            </w:r>
          </w:p>
        </w:tc>
        <w:tc>
          <w:tcPr>
            <w:tcW w:w="7250" w:type="dxa"/>
            <w:noWrap w:val="0"/>
            <w:vAlign w:val="top"/>
          </w:tcPr>
          <w:p>
            <w:pPr>
              <w:tabs>
                <w:tab w:val="left" w:pos="3060"/>
              </w:tabs>
              <w:spacing w:line="24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第一个信封（商务及技术文件）评审标准：</w:t>
            </w:r>
          </w:p>
          <w:p>
            <w:pPr>
              <w:tabs>
                <w:tab w:val="left" w:pos="3060"/>
              </w:tabs>
              <w:spacing w:line="24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（1）投标文件按照招标文件规定的格式、内容填写，字迹清晰可辨：</w:t>
            </w:r>
          </w:p>
          <w:p>
            <w:pPr>
              <w:tabs>
                <w:tab w:val="left" w:pos="3060"/>
              </w:tabs>
              <w:spacing w:line="24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a.投标函按招标文件规定填报了补遗书编号（如有）、</w:t>
            </w:r>
            <w:r>
              <w:rPr>
                <w:rFonts w:hint="eastAsia" w:ascii="宋体" w:hAnsi="宋体" w:eastAsia="宋体" w:cs="宋体"/>
                <w:color w:val="auto"/>
                <w:sz w:val="24"/>
                <w:szCs w:val="24"/>
                <w:highlight w:val="none"/>
              </w:rPr>
              <w:t>项目负责人</w:t>
            </w:r>
            <w:r>
              <w:rPr>
                <w:rFonts w:hint="eastAsia" w:ascii="宋体" w:hAnsi="宋体" w:eastAsia="宋体" w:cs="宋体"/>
                <w:color w:val="auto"/>
                <w:sz w:val="24"/>
                <w:szCs w:val="24"/>
                <w:highlight w:val="none"/>
                <w:lang w:eastAsia="zh-CN"/>
              </w:rPr>
              <w:t>（主审）</w:t>
            </w:r>
            <w:r>
              <w:rPr>
                <w:rFonts w:hint="eastAsia" w:ascii="宋体" w:hAnsi="宋体" w:eastAsia="宋体" w:cs="宋体"/>
                <w:bCs/>
                <w:color w:val="auto"/>
                <w:sz w:val="24"/>
                <w:szCs w:val="24"/>
                <w:highlight w:val="none"/>
                <w:lang w:eastAsia="zh-CN"/>
              </w:rPr>
              <w:t>、</w:t>
            </w:r>
            <w:r>
              <w:rPr>
                <w:rFonts w:hint="eastAsia" w:ascii="宋体" w:hAnsi="宋体" w:eastAsia="宋体" w:cs="宋体"/>
                <w:color w:val="auto"/>
                <w:sz w:val="24"/>
                <w:szCs w:val="24"/>
                <w:highlight w:val="none"/>
                <w:lang w:eastAsia="zh-CN"/>
              </w:rPr>
              <w:t>财务审计主管、</w:t>
            </w:r>
            <w:r>
              <w:rPr>
                <w:rFonts w:hint="eastAsia" w:ascii="宋体" w:hAnsi="宋体" w:eastAsia="宋体" w:cs="宋体"/>
                <w:color w:val="auto"/>
                <w:sz w:val="24"/>
                <w:szCs w:val="24"/>
                <w:highlight w:val="none"/>
              </w:rPr>
              <w:t>造价审核主管</w:t>
            </w:r>
            <w:r>
              <w:rPr>
                <w:rFonts w:hint="eastAsia" w:ascii="宋体" w:hAnsi="宋体" w:eastAsia="宋体" w:cs="宋体"/>
                <w:color w:val="auto"/>
                <w:sz w:val="24"/>
                <w:szCs w:val="24"/>
                <w:highlight w:val="none"/>
                <w:lang w:eastAsia="zh-CN"/>
              </w:rPr>
              <w:t>，未对项目名称、服务期限、质量要求、安全目标、项目实施地点进行修改</w:t>
            </w:r>
            <w:r>
              <w:rPr>
                <w:rFonts w:hint="eastAsia" w:ascii="宋体" w:hAnsi="宋体" w:eastAsia="宋体" w:cs="宋体"/>
                <w:bCs/>
                <w:color w:val="auto"/>
                <w:sz w:val="24"/>
                <w:szCs w:val="24"/>
                <w:highlight w:val="none"/>
              </w:rPr>
              <w:t>；</w:t>
            </w:r>
          </w:p>
          <w:p>
            <w:pPr>
              <w:tabs>
                <w:tab w:val="left" w:pos="3060"/>
              </w:tabs>
              <w:spacing w:line="24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b.投标文件组成齐全完整，内容均按规定填写。</w:t>
            </w:r>
          </w:p>
          <w:p>
            <w:pPr>
              <w:tabs>
                <w:tab w:val="left" w:pos="3060"/>
              </w:tabs>
              <w:spacing w:line="24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（2）投标文件上法定代表人或其授权代理人的签字、投标人的单位章盖章齐全，符合招标文件规定。</w:t>
            </w:r>
          </w:p>
          <w:p>
            <w:pPr>
              <w:tabs>
                <w:tab w:val="left" w:pos="3060"/>
              </w:tabs>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（3）投标人按照招标文件的规定提供了投标保证金，并符合投标人须知前附表3.4.1项的相关规定。</w:t>
            </w:r>
          </w:p>
          <w:p>
            <w:pPr>
              <w:tabs>
                <w:tab w:val="left" w:pos="3060"/>
              </w:tabs>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（4）投标人法定代表人授权委托代理人签署投标文件的，须提交授权委托书，授权委托书的签字盖章符合招标文件规定。</w:t>
            </w:r>
          </w:p>
          <w:p>
            <w:pPr>
              <w:tabs>
                <w:tab w:val="left" w:pos="3060"/>
              </w:tabs>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（5）投标人法定代表人亲自签署投标文件的，提供了法定代表人身份证明,法定代表人身份证明的签字盖章符合招标文件规定。</w:t>
            </w:r>
          </w:p>
          <w:p>
            <w:pPr>
              <w:tabs>
                <w:tab w:val="left" w:pos="3060"/>
              </w:tabs>
              <w:spacing w:line="240" w:lineRule="auto"/>
              <w:rPr>
                <w:rFonts w:hint="eastAsia" w:ascii="宋体" w:hAnsi="宋体" w:eastAsia="宋体" w:cs="宋体"/>
                <w:color w:val="auto"/>
                <w:sz w:val="24"/>
                <w:szCs w:val="24"/>
                <w:highlight w:val="none"/>
                <w:shd w:val="clear" w:color="auto" w:fill="C00000"/>
                <w:lang w:eastAsia="zh-CN"/>
              </w:rPr>
            </w:pPr>
            <w:r>
              <w:rPr>
                <w:rFonts w:hint="eastAsia" w:ascii="宋体" w:hAnsi="宋体" w:eastAsia="宋体" w:cs="宋体"/>
                <w:color w:val="auto"/>
                <w:sz w:val="24"/>
                <w:szCs w:val="24"/>
                <w:highlight w:val="none"/>
              </w:rPr>
              <w:t>（6）投标人以联合体形式投标时，联合体满足招标文件的</w:t>
            </w:r>
            <w:r>
              <w:rPr>
                <w:rFonts w:hint="eastAsia" w:ascii="宋体" w:hAnsi="宋体" w:eastAsia="宋体" w:cs="宋体"/>
                <w:color w:val="auto"/>
                <w:sz w:val="24"/>
                <w:szCs w:val="24"/>
                <w:highlight w:val="none"/>
                <w:shd w:val="clear" w:color="auto" w:fill="auto"/>
              </w:rPr>
              <w:t>要求</w:t>
            </w:r>
            <w:r>
              <w:rPr>
                <w:rFonts w:hint="eastAsia" w:ascii="宋体" w:hAnsi="宋体" w:eastAsia="宋体" w:cs="宋体"/>
                <w:color w:val="auto"/>
                <w:sz w:val="24"/>
                <w:szCs w:val="24"/>
                <w:highlight w:val="none"/>
                <w:shd w:val="clear" w:color="auto" w:fill="auto"/>
                <w:lang w:eastAsia="zh-CN"/>
              </w:rPr>
              <w:t>；</w:t>
            </w:r>
          </w:p>
          <w:p>
            <w:pPr>
              <w:tabs>
                <w:tab w:val="left" w:pos="3060"/>
              </w:tabs>
              <w:spacing w:line="24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投标人按照招标文件提供的格式和要求签订了联合体协议书，明确各方承担连带责任，并明确了联合体牵头人。</w:t>
            </w:r>
          </w:p>
          <w:p>
            <w:pPr>
              <w:tabs>
                <w:tab w:val="left" w:pos="3060"/>
              </w:tabs>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（7）投标人无分包计划。</w:t>
            </w:r>
          </w:p>
          <w:p>
            <w:pPr>
              <w:tabs>
                <w:tab w:val="left" w:pos="3060"/>
              </w:tabs>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（8）同一投标人未提交两个以上不同的投标文件。</w:t>
            </w:r>
          </w:p>
          <w:p>
            <w:pPr>
              <w:tabs>
                <w:tab w:val="left" w:pos="3060"/>
              </w:tabs>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（9）投标文件第一信封中未出现有关投标报价的内容。</w:t>
            </w:r>
          </w:p>
          <w:p>
            <w:pPr>
              <w:tabs>
                <w:tab w:val="left" w:pos="3060"/>
              </w:tabs>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（10）投标文件载明的招标项目完成期限未超过招标文件规定。</w:t>
            </w:r>
          </w:p>
          <w:p>
            <w:pPr>
              <w:tabs>
                <w:tab w:val="left" w:pos="3060"/>
              </w:tabs>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（11）投标文件对招标文件的实质性要求和条件作出响应。</w:t>
            </w:r>
          </w:p>
          <w:p>
            <w:pPr>
              <w:tabs>
                <w:tab w:val="left" w:pos="3060"/>
              </w:tabs>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（12）权利义务符合招标文件规定：</w:t>
            </w:r>
          </w:p>
          <w:p>
            <w:pPr>
              <w:tabs>
                <w:tab w:val="left" w:pos="3060"/>
              </w:tabs>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a.投标人应接受招标文件规定的风险划分原则，未提出新的风险划分办法；</w:t>
            </w:r>
          </w:p>
          <w:p>
            <w:pPr>
              <w:tabs>
                <w:tab w:val="left" w:pos="3060"/>
              </w:tabs>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b.投标人未增加发包人的责任范围，或减少投标人义务；</w:t>
            </w:r>
          </w:p>
          <w:p>
            <w:pPr>
              <w:tabs>
                <w:tab w:val="left" w:pos="3060"/>
              </w:tabs>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c.投标人未提出不同的支付办法；</w:t>
            </w:r>
          </w:p>
          <w:p>
            <w:pPr>
              <w:tabs>
                <w:tab w:val="left" w:pos="3060"/>
              </w:tabs>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d.投标人对合同纠纷、事故处理办法未提出异议；</w:t>
            </w:r>
          </w:p>
          <w:p>
            <w:pPr>
              <w:tabs>
                <w:tab w:val="left" w:pos="3060"/>
              </w:tabs>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e.投标人在投标活动中无欺诈行为；</w:t>
            </w:r>
          </w:p>
          <w:p>
            <w:pPr>
              <w:tabs>
                <w:tab w:val="left" w:pos="3060"/>
              </w:tabs>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f.投标人未对合同条款有重要保留。</w:t>
            </w:r>
          </w:p>
          <w:p>
            <w:pPr>
              <w:tabs>
                <w:tab w:val="left" w:pos="3060"/>
              </w:tabs>
              <w:spacing w:line="24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第二个信封（报价文件）评审标准：</w:t>
            </w:r>
          </w:p>
          <w:p>
            <w:pPr>
              <w:tabs>
                <w:tab w:val="left" w:pos="3060"/>
              </w:tabs>
              <w:spacing w:line="24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（1）投标文件按照招标文件规定的格式、内容填写，字迹清晰可辨，内容齐全完整。</w:t>
            </w:r>
          </w:p>
          <w:p>
            <w:pPr>
              <w:tabs>
                <w:tab w:val="left" w:pos="3060"/>
              </w:tabs>
              <w:spacing w:line="24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a.投标函按招标文件规定填报了补遗书编号（如有）、投标价（包括大写金额和小写金额），未对项目名称进行修改；</w:t>
            </w:r>
          </w:p>
          <w:p>
            <w:pPr>
              <w:tabs>
                <w:tab w:val="left" w:pos="3060"/>
              </w:tabs>
              <w:spacing w:line="24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b．投标文件组成齐全完整，内容均按规定填写。</w:t>
            </w:r>
          </w:p>
          <w:p>
            <w:pPr>
              <w:tabs>
                <w:tab w:val="left" w:pos="3060"/>
              </w:tabs>
              <w:spacing w:line="24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（2）投标文件上法定代表人或其授权代理人的签字、投标人的单位章盖章齐全，符合招标文件规定。</w:t>
            </w:r>
          </w:p>
          <w:p>
            <w:pPr>
              <w:tabs>
                <w:tab w:val="left" w:pos="3060"/>
              </w:tabs>
              <w:spacing w:line="24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（3）投标报价未超过招标文件设定的最高投标限价，</w:t>
            </w:r>
            <w:r>
              <w:rPr>
                <w:rFonts w:hint="eastAsia" w:ascii="宋体" w:hAnsi="宋体" w:eastAsia="宋体" w:cs="宋体"/>
                <w:bCs/>
                <w:color w:val="auto"/>
                <w:sz w:val="24"/>
                <w:szCs w:val="24"/>
                <w:highlight w:val="none"/>
                <w:lang w:eastAsia="zh-CN"/>
              </w:rPr>
              <w:t>效益审计费用</w:t>
            </w:r>
            <w:r>
              <w:rPr>
                <w:rFonts w:hint="eastAsia" w:ascii="宋体" w:hAnsi="宋体" w:eastAsia="宋体" w:cs="宋体"/>
                <w:bCs/>
                <w:color w:val="auto"/>
                <w:sz w:val="24"/>
                <w:szCs w:val="24"/>
                <w:highlight w:val="none"/>
              </w:rPr>
              <w:t>未修改。</w:t>
            </w:r>
          </w:p>
          <w:p>
            <w:pPr>
              <w:tabs>
                <w:tab w:val="left" w:pos="3060"/>
              </w:tabs>
              <w:spacing w:line="24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（4）投标报价的大写金额能够确定具体数值。</w:t>
            </w:r>
          </w:p>
          <w:p>
            <w:pPr>
              <w:tabs>
                <w:tab w:val="left" w:pos="3060"/>
              </w:tabs>
              <w:spacing w:line="240" w:lineRule="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（5）同一投标人未提交两个以上不同的投标报价。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9" w:type="dxa"/>
            <w:noWrap w:val="0"/>
            <w:vAlign w:val="center"/>
          </w:tcPr>
          <w:p>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w:t>
            </w:r>
          </w:p>
        </w:tc>
        <w:tc>
          <w:tcPr>
            <w:tcW w:w="1254" w:type="dxa"/>
            <w:noWrap w:val="0"/>
            <w:vAlign w:val="center"/>
          </w:tcPr>
          <w:p>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资格评审标准</w:t>
            </w:r>
          </w:p>
        </w:tc>
        <w:tc>
          <w:tcPr>
            <w:tcW w:w="7250" w:type="dxa"/>
            <w:noWrap w:val="0"/>
            <w:vAlign w:val="top"/>
          </w:tcPr>
          <w:p>
            <w:pPr>
              <w:tabs>
                <w:tab w:val="left" w:pos="3060"/>
              </w:tabs>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（1）投标人具备有效的营业执照副本和组织机构代码证副本（按照“三证合一”或“五证合一”登记制度进行登记的，可仅提供营业执照副本）、资质证书和基本账户开户许可证（或基本存款账户信息）；</w:t>
            </w:r>
          </w:p>
          <w:p>
            <w:pPr>
              <w:tabs>
                <w:tab w:val="left" w:pos="3060"/>
              </w:tabs>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（2）投标人的资质等级符合招标文件规定；</w:t>
            </w:r>
          </w:p>
          <w:p>
            <w:pPr>
              <w:tabs>
                <w:tab w:val="left" w:pos="3060"/>
              </w:tabs>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（3）投标人的类似项目业绩符合招标文件规定；</w:t>
            </w:r>
          </w:p>
          <w:p>
            <w:pPr>
              <w:tabs>
                <w:tab w:val="left" w:pos="3060"/>
              </w:tabs>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（4）投标人的信誉符合招标文件规定；</w:t>
            </w:r>
          </w:p>
          <w:p>
            <w:pPr>
              <w:tabs>
                <w:tab w:val="left" w:pos="3060"/>
              </w:tabs>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（5）投标人的主要人员</w:t>
            </w:r>
            <w:r>
              <w:rPr>
                <w:rFonts w:hint="eastAsia" w:ascii="宋体" w:hAnsi="宋体" w:eastAsia="宋体" w:cs="宋体"/>
                <w:color w:val="auto"/>
                <w:sz w:val="24"/>
                <w:szCs w:val="24"/>
                <w:highlight w:val="none"/>
                <w:lang w:eastAsia="zh-CN"/>
              </w:rPr>
              <w:t>、其他人员</w:t>
            </w:r>
            <w:r>
              <w:rPr>
                <w:rFonts w:hint="eastAsia" w:ascii="宋体" w:hAnsi="宋体" w:eastAsia="宋体" w:cs="宋体"/>
                <w:color w:val="auto"/>
                <w:sz w:val="24"/>
                <w:szCs w:val="24"/>
                <w:highlight w:val="none"/>
              </w:rPr>
              <w:t>资格符合招标文件规定；</w:t>
            </w:r>
          </w:p>
          <w:p>
            <w:pPr>
              <w:tabs>
                <w:tab w:val="left" w:pos="3060"/>
              </w:tabs>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（6）投标人不存在第二章“投标人须知”第1.4.3项或第1.4.4项规定的任何一种情形。</w:t>
            </w:r>
          </w:p>
          <w:p>
            <w:pPr>
              <w:tabs>
                <w:tab w:val="left" w:pos="3060"/>
              </w:tabs>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（7）以联合体形式参与投标的，联合体各方均未再以自己名义单独或参加其他联合体的投标。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9" w:type="dxa"/>
            <w:noWrap w:val="0"/>
            <w:vAlign w:val="center"/>
          </w:tcPr>
          <w:p>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w:t>
            </w:r>
          </w:p>
        </w:tc>
        <w:tc>
          <w:tcPr>
            <w:tcW w:w="1254" w:type="dxa"/>
            <w:noWrap w:val="0"/>
            <w:vAlign w:val="center"/>
          </w:tcPr>
          <w:p>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分值</w:t>
            </w:r>
          </w:p>
          <w:p>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构成</w:t>
            </w:r>
          </w:p>
        </w:tc>
        <w:tc>
          <w:tcPr>
            <w:tcW w:w="7250" w:type="dxa"/>
            <w:noWrap w:val="0"/>
            <w:vAlign w:val="center"/>
          </w:tcPr>
          <w:p>
            <w:pPr>
              <w:autoSpaceDE w:val="0"/>
              <w:autoSpaceDN w:val="0"/>
              <w:adjustRightInd w:val="0"/>
              <w:spacing w:line="240" w:lineRule="auto"/>
              <w:ind w:left="107"/>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第一信封（商务及技术文件）评分分值构成：</w:t>
            </w:r>
          </w:p>
          <w:p>
            <w:pPr>
              <w:autoSpaceDE w:val="0"/>
              <w:autoSpaceDN w:val="0"/>
              <w:adjustRightInd w:val="0"/>
              <w:spacing w:line="240" w:lineRule="auto"/>
              <w:ind w:left="107"/>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审计实施方案：</w:t>
            </w:r>
            <w:r>
              <w:rPr>
                <w:rFonts w:hint="eastAsia" w:ascii="宋体" w:hAnsi="宋体" w:eastAsia="宋体" w:cs="宋体"/>
                <w:color w:val="auto"/>
                <w:kern w:val="0"/>
                <w:sz w:val="24"/>
                <w:szCs w:val="24"/>
                <w:highlight w:val="none"/>
                <w:lang w:val="en-US" w:eastAsia="zh-CN"/>
              </w:rPr>
              <w:t>35</w:t>
            </w:r>
            <w:r>
              <w:rPr>
                <w:rFonts w:hint="eastAsia" w:ascii="宋体" w:hAnsi="宋体" w:eastAsia="宋体" w:cs="宋体"/>
                <w:color w:val="auto"/>
                <w:kern w:val="0"/>
                <w:sz w:val="24"/>
                <w:szCs w:val="24"/>
                <w:highlight w:val="none"/>
              </w:rPr>
              <w:t>分</w:t>
            </w:r>
          </w:p>
          <w:p>
            <w:pPr>
              <w:autoSpaceDE w:val="0"/>
              <w:autoSpaceDN w:val="0"/>
              <w:adjustRightInd w:val="0"/>
              <w:spacing w:line="240" w:lineRule="auto"/>
              <w:ind w:left="107"/>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主要人员业绩：</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分</w:t>
            </w:r>
          </w:p>
          <w:p>
            <w:pPr>
              <w:autoSpaceDE w:val="0"/>
              <w:autoSpaceDN w:val="0"/>
              <w:adjustRightInd w:val="0"/>
              <w:spacing w:line="240" w:lineRule="auto"/>
              <w:ind w:left="107"/>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其他</w:t>
            </w:r>
            <w:r>
              <w:rPr>
                <w:rFonts w:hint="eastAsia" w:ascii="宋体" w:hAnsi="宋体" w:eastAsia="宋体" w:cs="宋体"/>
                <w:color w:val="auto"/>
                <w:kern w:val="0"/>
                <w:sz w:val="24"/>
                <w:szCs w:val="24"/>
                <w:highlight w:val="none"/>
              </w:rPr>
              <w:t>人员</w:t>
            </w:r>
            <w:r>
              <w:rPr>
                <w:rFonts w:hint="eastAsia" w:ascii="宋体" w:hAnsi="宋体" w:eastAsia="宋体" w:cs="宋体"/>
                <w:color w:val="auto"/>
                <w:kern w:val="0"/>
                <w:sz w:val="24"/>
                <w:szCs w:val="24"/>
                <w:highlight w:val="none"/>
                <w:lang w:val="en-US" w:eastAsia="zh-CN"/>
              </w:rPr>
              <w:t>要求</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10</w:t>
            </w:r>
            <w:r>
              <w:rPr>
                <w:rFonts w:hint="eastAsia" w:ascii="宋体" w:hAnsi="宋体" w:eastAsia="宋体" w:cs="宋体"/>
                <w:color w:val="auto"/>
                <w:kern w:val="0"/>
                <w:sz w:val="24"/>
                <w:szCs w:val="24"/>
                <w:highlight w:val="none"/>
              </w:rPr>
              <w:t>分</w:t>
            </w:r>
          </w:p>
          <w:p>
            <w:pPr>
              <w:autoSpaceDE w:val="0"/>
              <w:autoSpaceDN w:val="0"/>
              <w:adjustRightInd w:val="0"/>
              <w:spacing w:line="240" w:lineRule="auto"/>
              <w:ind w:left="107"/>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业绩</w:t>
            </w:r>
            <w:r>
              <w:rPr>
                <w:rFonts w:hint="eastAsia" w:ascii="宋体" w:hAnsi="宋体" w:eastAsia="宋体" w:cs="宋体"/>
                <w:color w:val="auto"/>
                <w:kern w:val="0"/>
                <w:sz w:val="24"/>
                <w:szCs w:val="24"/>
                <w:highlight w:val="none"/>
                <w:lang w:val="en-US" w:eastAsia="zh-CN"/>
              </w:rPr>
              <w:t>要求</w:t>
            </w:r>
            <w:r>
              <w:rPr>
                <w:rFonts w:hint="eastAsia" w:ascii="宋体" w:hAnsi="宋体" w:eastAsia="宋体" w:cs="宋体"/>
                <w:color w:val="auto"/>
                <w:kern w:val="0"/>
                <w:sz w:val="24"/>
                <w:szCs w:val="24"/>
                <w:highlight w:val="none"/>
              </w:rPr>
              <w:t>：    20分</w:t>
            </w:r>
          </w:p>
          <w:p>
            <w:pPr>
              <w:autoSpaceDE w:val="0"/>
              <w:autoSpaceDN w:val="0"/>
              <w:adjustRightInd w:val="0"/>
              <w:spacing w:line="240" w:lineRule="auto"/>
              <w:ind w:left="107"/>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第二信封（报价文件）评分分值构成：</w:t>
            </w:r>
          </w:p>
          <w:p>
            <w:pPr>
              <w:autoSpaceDE w:val="0"/>
              <w:autoSpaceDN w:val="0"/>
              <w:adjustRightInd w:val="0"/>
              <w:spacing w:line="240" w:lineRule="auto"/>
              <w:ind w:left="107"/>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评标价：    </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 xml:space="preserve">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839" w:type="dxa"/>
            <w:noWrap w:val="0"/>
            <w:vAlign w:val="center"/>
          </w:tcPr>
          <w:p>
            <w:pPr>
              <w:spacing w:line="240" w:lineRule="auto"/>
              <w:ind w:right="113"/>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w:t>
            </w:r>
          </w:p>
        </w:tc>
        <w:tc>
          <w:tcPr>
            <w:tcW w:w="1254" w:type="dxa"/>
            <w:noWrap w:val="0"/>
            <w:vAlign w:val="center"/>
          </w:tcPr>
          <w:p>
            <w:pPr>
              <w:spacing w:line="240" w:lineRule="auto"/>
              <w:ind w:left="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评标基准价计算</w:t>
            </w:r>
          </w:p>
          <w:p>
            <w:pPr>
              <w:spacing w:line="240" w:lineRule="auto"/>
              <w:ind w:left="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方法</w:t>
            </w:r>
          </w:p>
        </w:tc>
        <w:tc>
          <w:tcPr>
            <w:tcW w:w="7250" w:type="dxa"/>
            <w:noWrap w:val="0"/>
            <w:vAlign w:val="center"/>
          </w:tcPr>
          <w:p>
            <w:pPr>
              <w:spacing w:line="240" w:lineRule="auto"/>
              <w:ind w:right="11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评标基准价的计算：</w:t>
            </w:r>
          </w:p>
          <w:p>
            <w:pPr>
              <w:spacing w:line="240" w:lineRule="auto"/>
              <w:ind w:right="11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（1）评标价的确定：</w:t>
            </w:r>
          </w:p>
          <w:p>
            <w:pPr>
              <w:spacing w:line="240" w:lineRule="auto"/>
              <w:ind w:right="11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评标价=投标函文字报价</w:t>
            </w:r>
          </w:p>
          <w:p>
            <w:pPr>
              <w:spacing w:line="240" w:lineRule="auto"/>
              <w:ind w:right="11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（2）评标基准价的确定：</w:t>
            </w:r>
          </w:p>
          <w:p>
            <w:pPr>
              <w:spacing w:line="240" w:lineRule="auto"/>
              <w:ind w:right="11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除按第二章“投标人须知”第5.2.4项规定开标现场被宣布为不进入评标基准价计算的投标报价之外，将评标价去掉n1个最高评标价和n2个最低评标价后的平均值直接作为评标基准价。</w:t>
            </w:r>
          </w:p>
          <w:p>
            <w:pPr>
              <w:spacing w:line="240" w:lineRule="auto"/>
              <w:ind w:right="11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注：如果参与评标价平均值计算的投标人数量≥6家时，计算评标价平均值时去掉最高值和最低值（n1=1，n2=1）。</w:t>
            </w:r>
          </w:p>
          <w:p>
            <w:pPr>
              <w:spacing w:line="240" w:lineRule="auto"/>
              <w:ind w:right="11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在评标过程中，评标委员会应对招标人计算的评标基准价进行复核，存在计算错误的应予以修正并在评标报告中作出说明。除此之外，评标基准价在整个评标期间保持不变，不随任何因素发生变化。</w:t>
            </w:r>
          </w:p>
          <w:p>
            <w:pPr>
              <w:spacing w:line="240" w:lineRule="auto"/>
              <w:ind w:right="11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评标基准价保留两位小数。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839" w:type="dxa"/>
            <w:noWrap w:val="0"/>
            <w:vAlign w:val="center"/>
          </w:tcPr>
          <w:p>
            <w:pPr>
              <w:spacing w:line="240" w:lineRule="auto"/>
              <w:ind w:right="113"/>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2.2.3</w:t>
            </w:r>
          </w:p>
        </w:tc>
        <w:tc>
          <w:tcPr>
            <w:tcW w:w="1254" w:type="dxa"/>
            <w:noWrap w:val="0"/>
            <w:vAlign w:val="center"/>
          </w:tcPr>
          <w:p>
            <w:pPr>
              <w:spacing w:line="240" w:lineRule="auto"/>
              <w:ind w:left="-42" w:leftChars="-15" w:right="-77"/>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评标价的偏差率计算</w:t>
            </w:r>
          </w:p>
          <w:p>
            <w:pPr>
              <w:spacing w:line="240" w:lineRule="auto"/>
              <w:ind w:left="-42" w:leftChars="-15" w:right="-77"/>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公式</w:t>
            </w:r>
          </w:p>
        </w:tc>
        <w:tc>
          <w:tcPr>
            <w:tcW w:w="7250" w:type="dxa"/>
            <w:noWrap w:val="0"/>
            <w:vAlign w:val="center"/>
          </w:tcPr>
          <w:p>
            <w:pPr>
              <w:spacing w:line="240" w:lineRule="auto"/>
              <w:ind w:right="11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偏差率=100%×（投标人评标价-评标基准价）/评标基准价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839" w:type="dxa"/>
            <w:noWrap w:val="0"/>
            <w:vAlign w:val="center"/>
          </w:tcPr>
          <w:p>
            <w:pPr>
              <w:spacing w:line="240" w:lineRule="auto"/>
              <w:ind w:right="113"/>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3.6.1</w:t>
            </w:r>
          </w:p>
        </w:tc>
        <w:tc>
          <w:tcPr>
            <w:tcW w:w="1254" w:type="dxa"/>
            <w:noWrap w:val="0"/>
            <w:vAlign w:val="center"/>
          </w:tcPr>
          <w:p>
            <w:pPr>
              <w:spacing w:line="240" w:lineRule="auto"/>
              <w:ind w:left="-42" w:leftChars="-15" w:right="-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投标文件相关信息核查</w:t>
            </w:r>
          </w:p>
        </w:tc>
        <w:tc>
          <w:tcPr>
            <w:tcW w:w="7250" w:type="dxa"/>
            <w:noWrap w:val="0"/>
            <w:vAlign w:val="center"/>
          </w:tcPr>
          <w:p>
            <w:pPr>
              <w:adjustRightInd w:val="0"/>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本款修改为：</w:t>
            </w:r>
          </w:p>
          <w:p>
            <w:pPr>
              <w:spacing w:line="24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评标委员会在评标时按照投标人提供的验证方式对电子保函或电子保证保险进行验证。如投标人未提供电子保函或电子保证保险的验证方式，或根据提供的验证方式无法核实的，评标委员会应否决其投标。</w:t>
            </w:r>
          </w:p>
          <w:p>
            <w:pPr>
              <w:spacing w:line="24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评标时应对投标人的信用情况在“国家企业信用信息公示系统”和“信用中国”网站对投标人的信用情况进行查询，若投标人存在“国家企业信用信息公示系统”被列入严重违法失信企业名单（不含分公司）或在“信用中国”网站“被列入失信被执行人名单、经营异常名录、税收违法黑名单（或重大税收违法失信主体）、政府采购严重违法失信行为记录名单”情形的（均不含分公司），评标委员会应否决其投标。</w:t>
            </w:r>
          </w:p>
          <w:p>
            <w:pPr>
              <w:spacing w:line="24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按招标文件要求提供了截图并更新政府网站公开的相关信息，并承担由于信息填报不完整或者不准确等原因导致投标可能被否决的后果。相关信息由投标人填报的，其真实性由投标人负责，经查证与事实不符的，视为投标过程中的弄虚作假行为，按相关规定处理。</w:t>
            </w:r>
          </w:p>
          <w:p>
            <w:pPr>
              <w:pStyle w:val="5"/>
              <w:spacing w:line="24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如投标人未提供招标文件要求的相关截图或与评标委员会查询结果不符的，评标委员会应否决其投标。</w:t>
            </w:r>
          </w:p>
        </w:tc>
      </w:tr>
    </w:tbl>
    <w:p>
      <w:pPr>
        <w:jc w:val="both"/>
        <w:rPr>
          <w:color w:val="auto"/>
          <w:szCs w:val="21"/>
          <w:highlight w:val="none"/>
        </w:rPr>
      </w:pPr>
      <w:r>
        <w:rPr>
          <w:color w:val="auto"/>
          <w:sz w:val="24"/>
          <w:highlight w:val="none"/>
        </w:rPr>
        <w:br w:type="page"/>
      </w:r>
    </w:p>
    <w:tbl>
      <w:tblPr>
        <w:tblStyle w:val="9"/>
        <w:tblW w:w="96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741"/>
        <w:gridCol w:w="624"/>
        <w:gridCol w:w="1134"/>
        <w:gridCol w:w="567"/>
        <w:gridCol w:w="5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tblHeader/>
          <w:jc w:val="center"/>
        </w:trPr>
        <w:tc>
          <w:tcPr>
            <w:tcW w:w="3807" w:type="dxa"/>
            <w:gridSpan w:val="5"/>
            <w:noWrap w:val="0"/>
            <w:vAlign w:val="center"/>
          </w:tcPr>
          <w:p>
            <w:pPr>
              <w:pStyle w:val="6"/>
              <w:spacing w:line="160" w:lineRule="atLeas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评分因素与权重分值</w:t>
            </w:r>
          </w:p>
        </w:tc>
        <w:tc>
          <w:tcPr>
            <w:tcW w:w="5845" w:type="dxa"/>
            <w:vMerge w:val="restart"/>
            <w:noWrap w:val="0"/>
            <w:vAlign w:val="center"/>
          </w:tcPr>
          <w:p>
            <w:pPr>
              <w:pStyle w:val="6"/>
              <w:spacing w:line="160" w:lineRule="atLeas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tblHeader/>
          <w:jc w:val="center"/>
        </w:trPr>
        <w:tc>
          <w:tcPr>
            <w:tcW w:w="741" w:type="dxa"/>
            <w:tcBorders>
              <w:top w:val="single" w:color="auto" w:sz="4" w:space="0"/>
              <w:left w:val="single" w:color="auto" w:sz="4" w:space="0"/>
              <w:bottom w:val="single" w:color="auto" w:sz="4" w:space="0"/>
              <w:right w:val="single" w:color="auto" w:sz="4" w:space="0"/>
            </w:tcBorders>
            <w:noWrap w:val="0"/>
            <w:vAlign w:val="center"/>
          </w:tcPr>
          <w:p>
            <w:pPr>
              <w:pStyle w:val="6"/>
              <w:spacing w:line="160" w:lineRule="atLeas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条款号</w:t>
            </w:r>
          </w:p>
        </w:tc>
        <w:tc>
          <w:tcPr>
            <w:tcW w:w="741" w:type="dxa"/>
            <w:tcBorders>
              <w:top w:val="single" w:color="auto" w:sz="4" w:space="0"/>
              <w:left w:val="single" w:color="auto" w:sz="4" w:space="0"/>
              <w:bottom w:val="single" w:color="auto" w:sz="4" w:space="0"/>
              <w:right w:val="single" w:color="auto" w:sz="4" w:space="0"/>
            </w:tcBorders>
            <w:noWrap w:val="0"/>
            <w:vAlign w:val="center"/>
          </w:tcPr>
          <w:p>
            <w:pPr>
              <w:pStyle w:val="6"/>
              <w:spacing w:line="160" w:lineRule="atLeas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评分因素</w:t>
            </w:r>
          </w:p>
        </w:tc>
        <w:tc>
          <w:tcPr>
            <w:tcW w:w="624" w:type="dxa"/>
            <w:tcBorders>
              <w:top w:val="single" w:color="auto" w:sz="4" w:space="0"/>
              <w:left w:val="single" w:color="auto" w:sz="4" w:space="0"/>
              <w:bottom w:val="single" w:color="auto" w:sz="4" w:space="0"/>
              <w:right w:val="single" w:color="auto" w:sz="4" w:space="0"/>
            </w:tcBorders>
            <w:noWrap w:val="0"/>
            <w:vAlign w:val="center"/>
          </w:tcPr>
          <w:p>
            <w:pPr>
              <w:pStyle w:val="6"/>
              <w:spacing w:line="160" w:lineRule="atLeast"/>
              <w:ind w:left="-53" w:leftChars="-19" w:right="-42" w:rightChars="-15" w:firstLine="1"/>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评分因素 权重分值</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pStyle w:val="6"/>
              <w:spacing w:line="160" w:lineRule="atLeast"/>
              <w:jc w:val="center"/>
              <w:rPr>
                <w:rFonts w:hint="eastAsia" w:ascii="宋体" w:hAnsi="宋体" w:eastAsia="宋体" w:cs="宋体"/>
                <w:color w:val="auto"/>
                <w:sz w:val="24"/>
                <w:szCs w:val="24"/>
                <w:highlight w:val="none"/>
                <w:lang w:val="en-US" w:eastAsia="zh-CN"/>
              </w:rPr>
            </w:pPr>
            <w:r>
              <w:rPr>
                <w:rStyle w:val="16"/>
                <w:rFonts w:hint="eastAsia" w:ascii="宋体" w:hAnsi="宋体" w:eastAsia="宋体" w:cs="宋体"/>
                <w:color w:val="auto"/>
                <w:sz w:val="24"/>
                <w:szCs w:val="24"/>
                <w:highlight w:val="none"/>
              </w:rPr>
              <w:t>各评分因素细分项</w:t>
            </w:r>
          </w:p>
        </w:tc>
        <w:tc>
          <w:tcPr>
            <w:tcW w:w="567" w:type="dxa"/>
            <w:tcBorders>
              <w:left w:val="single" w:color="auto" w:sz="4" w:space="0"/>
            </w:tcBorders>
            <w:noWrap w:val="0"/>
            <w:vAlign w:val="center"/>
          </w:tcPr>
          <w:p>
            <w:pPr>
              <w:pStyle w:val="6"/>
              <w:spacing w:line="160" w:lineRule="atLeas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分值</w:t>
            </w:r>
          </w:p>
        </w:tc>
        <w:tc>
          <w:tcPr>
            <w:tcW w:w="5845" w:type="dxa"/>
            <w:vMerge w:val="continue"/>
            <w:noWrap w:val="0"/>
            <w:vAlign w:val="center"/>
          </w:tcPr>
          <w:p>
            <w:pPr>
              <w:pStyle w:val="6"/>
              <w:spacing w:line="160" w:lineRule="atLeast"/>
              <w:jc w:val="center"/>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41" w:type="dxa"/>
            <w:vMerge w:val="restart"/>
            <w:tcBorders>
              <w:top w:val="single" w:color="auto" w:sz="4" w:space="0"/>
            </w:tcBorders>
            <w:noWrap w:val="0"/>
            <w:vAlign w:val="center"/>
          </w:tcPr>
          <w:p>
            <w:pPr>
              <w:pStyle w:val="6"/>
              <w:spacing w:line="160" w:lineRule="atLeas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2.2.4（1）</w:t>
            </w:r>
          </w:p>
        </w:tc>
        <w:tc>
          <w:tcPr>
            <w:tcW w:w="741" w:type="dxa"/>
            <w:vMerge w:val="restart"/>
            <w:tcBorders>
              <w:top w:val="single" w:color="auto" w:sz="4" w:space="0"/>
            </w:tcBorders>
            <w:noWrap w:val="0"/>
            <w:vAlign w:val="center"/>
          </w:tcPr>
          <w:p>
            <w:pPr>
              <w:pStyle w:val="6"/>
              <w:spacing w:line="160" w:lineRule="atLeas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审计实施方案</w:t>
            </w:r>
          </w:p>
        </w:tc>
        <w:tc>
          <w:tcPr>
            <w:tcW w:w="624" w:type="dxa"/>
            <w:vMerge w:val="restart"/>
            <w:tcBorders>
              <w:top w:val="single" w:color="auto" w:sz="4" w:space="0"/>
            </w:tcBorders>
            <w:noWrap w:val="0"/>
            <w:vAlign w:val="center"/>
          </w:tcPr>
          <w:p>
            <w:pPr>
              <w:pStyle w:val="6"/>
              <w:spacing w:line="160" w:lineRule="atLeas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35分</w:t>
            </w:r>
          </w:p>
        </w:tc>
        <w:tc>
          <w:tcPr>
            <w:tcW w:w="1134" w:type="dxa"/>
            <w:vMerge w:val="restart"/>
            <w:tcBorders>
              <w:top w:val="single" w:color="auto" w:sz="4" w:space="0"/>
            </w:tcBorders>
            <w:noWrap w:val="0"/>
            <w:vAlign w:val="center"/>
          </w:tcPr>
          <w:p>
            <w:pPr>
              <w:pStyle w:val="6"/>
              <w:spacing w:line="160" w:lineRule="atLeas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审计范围、内容、步骤和程序</w:t>
            </w:r>
          </w:p>
        </w:tc>
        <w:tc>
          <w:tcPr>
            <w:tcW w:w="567" w:type="dxa"/>
            <w:vMerge w:val="restart"/>
            <w:noWrap w:val="0"/>
            <w:vAlign w:val="center"/>
          </w:tcPr>
          <w:p>
            <w:pPr>
              <w:pStyle w:val="6"/>
              <w:spacing w:line="160" w:lineRule="atLeast"/>
              <w:ind w:leftChars="-48" w:right="-42" w:rightChars="-15" w:hanging="153" w:hangingChars="64"/>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p>
            <w:pPr>
              <w:pStyle w:val="6"/>
              <w:spacing w:line="160" w:lineRule="atLeast"/>
              <w:ind w:leftChars="-48" w:right="-42" w:rightChars="-15" w:hanging="153" w:hangingChars="64"/>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分</w:t>
            </w:r>
          </w:p>
        </w:tc>
        <w:tc>
          <w:tcPr>
            <w:tcW w:w="5845" w:type="dxa"/>
            <w:noWrap w:val="0"/>
            <w:vAlign w:val="center"/>
          </w:tcPr>
          <w:p>
            <w:pPr>
              <w:spacing w:line="400" w:lineRule="atLeas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描述准确、步骤和程序全面、具体、可行得4.</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41" w:type="dxa"/>
            <w:vMerge w:val="continue"/>
            <w:noWrap w:val="0"/>
            <w:vAlign w:val="center"/>
          </w:tcPr>
          <w:p>
            <w:pPr>
              <w:pStyle w:val="6"/>
              <w:spacing w:line="160" w:lineRule="atLeast"/>
              <w:jc w:val="center"/>
              <w:rPr>
                <w:rFonts w:hint="eastAsia" w:ascii="宋体" w:hAnsi="宋体" w:eastAsia="宋体" w:cs="宋体"/>
                <w:color w:val="auto"/>
                <w:sz w:val="24"/>
                <w:szCs w:val="24"/>
                <w:highlight w:val="none"/>
                <w:lang w:val="en-US" w:eastAsia="zh-CN"/>
              </w:rPr>
            </w:pPr>
          </w:p>
        </w:tc>
        <w:tc>
          <w:tcPr>
            <w:tcW w:w="741" w:type="dxa"/>
            <w:vMerge w:val="continue"/>
            <w:noWrap w:val="0"/>
            <w:vAlign w:val="center"/>
          </w:tcPr>
          <w:p>
            <w:pPr>
              <w:pStyle w:val="6"/>
              <w:spacing w:line="160" w:lineRule="atLeast"/>
              <w:jc w:val="center"/>
              <w:rPr>
                <w:rFonts w:hint="eastAsia" w:ascii="宋体" w:hAnsi="宋体" w:eastAsia="宋体" w:cs="宋体"/>
                <w:color w:val="auto"/>
                <w:sz w:val="24"/>
                <w:szCs w:val="24"/>
                <w:highlight w:val="none"/>
                <w:lang w:val="en-US" w:eastAsia="zh-CN"/>
              </w:rPr>
            </w:pPr>
          </w:p>
        </w:tc>
        <w:tc>
          <w:tcPr>
            <w:tcW w:w="624" w:type="dxa"/>
            <w:vMerge w:val="continue"/>
            <w:noWrap w:val="0"/>
            <w:vAlign w:val="center"/>
          </w:tcPr>
          <w:p>
            <w:pPr>
              <w:pStyle w:val="6"/>
              <w:spacing w:line="160" w:lineRule="atLeast"/>
              <w:jc w:val="center"/>
              <w:rPr>
                <w:rFonts w:hint="eastAsia" w:ascii="宋体" w:hAnsi="宋体" w:eastAsia="宋体" w:cs="宋体"/>
                <w:color w:val="auto"/>
                <w:sz w:val="24"/>
                <w:szCs w:val="24"/>
                <w:highlight w:val="none"/>
                <w:lang w:val="en-US" w:eastAsia="zh-CN"/>
              </w:rPr>
            </w:pPr>
          </w:p>
        </w:tc>
        <w:tc>
          <w:tcPr>
            <w:tcW w:w="1134" w:type="dxa"/>
            <w:vMerge w:val="continue"/>
            <w:noWrap w:val="0"/>
            <w:vAlign w:val="center"/>
          </w:tcPr>
          <w:p>
            <w:pPr>
              <w:pStyle w:val="6"/>
              <w:spacing w:line="160" w:lineRule="atLeast"/>
              <w:jc w:val="center"/>
              <w:rPr>
                <w:rFonts w:hint="eastAsia" w:ascii="宋体" w:hAnsi="宋体" w:eastAsia="宋体" w:cs="宋体"/>
                <w:color w:val="auto"/>
                <w:sz w:val="24"/>
                <w:szCs w:val="24"/>
                <w:highlight w:val="none"/>
                <w:lang w:val="en-US" w:eastAsia="zh-CN"/>
              </w:rPr>
            </w:pPr>
          </w:p>
        </w:tc>
        <w:tc>
          <w:tcPr>
            <w:tcW w:w="567" w:type="dxa"/>
            <w:vMerge w:val="continue"/>
            <w:noWrap w:val="0"/>
            <w:vAlign w:val="center"/>
          </w:tcPr>
          <w:p>
            <w:pPr>
              <w:pStyle w:val="6"/>
              <w:spacing w:line="160" w:lineRule="atLeast"/>
              <w:ind w:leftChars="-48" w:right="-42" w:rightChars="-15" w:hanging="153" w:hangingChars="64"/>
              <w:jc w:val="center"/>
              <w:rPr>
                <w:rFonts w:hint="eastAsia" w:ascii="宋体" w:hAnsi="宋体" w:eastAsia="宋体" w:cs="宋体"/>
                <w:color w:val="auto"/>
                <w:sz w:val="24"/>
                <w:szCs w:val="24"/>
                <w:highlight w:val="none"/>
                <w:lang w:val="en-US" w:eastAsia="zh-CN"/>
              </w:rPr>
            </w:pPr>
          </w:p>
        </w:tc>
        <w:tc>
          <w:tcPr>
            <w:tcW w:w="5845" w:type="dxa"/>
            <w:noWrap w:val="0"/>
            <w:vAlign w:val="center"/>
          </w:tcPr>
          <w:p>
            <w:pPr>
              <w:spacing w:line="400" w:lineRule="atLeast"/>
              <w:rPr>
                <w:rFonts w:hint="eastAsia" w:ascii="宋体" w:hAnsi="宋体" w:eastAsia="宋体" w:cs="宋体"/>
                <w:color w:val="auto"/>
                <w:spacing w:val="-4"/>
                <w:sz w:val="24"/>
                <w:szCs w:val="24"/>
                <w:highlight w:val="none"/>
                <w:lang w:val="en-US" w:eastAsia="zh-CN"/>
              </w:rPr>
            </w:pPr>
            <w:r>
              <w:rPr>
                <w:rFonts w:hint="eastAsia" w:ascii="宋体" w:hAnsi="宋体" w:eastAsia="宋体" w:cs="宋体"/>
                <w:color w:val="auto"/>
                <w:sz w:val="24"/>
                <w:szCs w:val="24"/>
                <w:highlight w:val="none"/>
              </w:rPr>
              <w:t>描述较准确、步骤和程序较全面、具备一定可行性得3.</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41" w:type="dxa"/>
            <w:vMerge w:val="continue"/>
            <w:noWrap w:val="0"/>
            <w:vAlign w:val="center"/>
          </w:tcPr>
          <w:p>
            <w:pPr>
              <w:pStyle w:val="6"/>
              <w:spacing w:line="160" w:lineRule="atLeast"/>
              <w:jc w:val="center"/>
              <w:rPr>
                <w:rFonts w:hint="eastAsia" w:ascii="宋体" w:hAnsi="宋体" w:eastAsia="宋体" w:cs="宋体"/>
                <w:color w:val="auto"/>
                <w:sz w:val="24"/>
                <w:szCs w:val="24"/>
                <w:highlight w:val="none"/>
                <w:lang w:val="en-US" w:eastAsia="zh-CN"/>
              </w:rPr>
            </w:pPr>
          </w:p>
        </w:tc>
        <w:tc>
          <w:tcPr>
            <w:tcW w:w="741" w:type="dxa"/>
            <w:vMerge w:val="continue"/>
            <w:noWrap w:val="0"/>
            <w:vAlign w:val="center"/>
          </w:tcPr>
          <w:p>
            <w:pPr>
              <w:pStyle w:val="6"/>
              <w:spacing w:line="160" w:lineRule="atLeast"/>
              <w:jc w:val="center"/>
              <w:rPr>
                <w:rFonts w:hint="eastAsia" w:ascii="宋体" w:hAnsi="宋体" w:eastAsia="宋体" w:cs="宋体"/>
                <w:color w:val="auto"/>
                <w:sz w:val="24"/>
                <w:szCs w:val="24"/>
                <w:highlight w:val="none"/>
                <w:lang w:val="en-US" w:eastAsia="zh-CN"/>
              </w:rPr>
            </w:pPr>
          </w:p>
        </w:tc>
        <w:tc>
          <w:tcPr>
            <w:tcW w:w="624" w:type="dxa"/>
            <w:vMerge w:val="continue"/>
            <w:noWrap w:val="0"/>
            <w:vAlign w:val="center"/>
          </w:tcPr>
          <w:p>
            <w:pPr>
              <w:pStyle w:val="6"/>
              <w:spacing w:line="160" w:lineRule="atLeast"/>
              <w:jc w:val="center"/>
              <w:rPr>
                <w:rFonts w:hint="eastAsia" w:ascii="宋体" w:hAnsi="宋体" w:eastAsia="宋体" w:cs="宋体"/>
                <w:color w:val="auto"/>
                <w:sz w:val="24"/>
                <w:szCs w:val="24"/>
                <w:highlight w:val="none"/>
                <w:lang w:val="en-US" w:eastAsia="zh-CN"/>
              </w:rPr>
            </w:pPr>
          </w:p>
        </w:tc>
        <w:tc>
          <w:tcPr>
            <w:tcW w:w="1134" w:type="dxa"/>
            <w:vMerge w:val="continue"/>
            <w:noWrap w:val="0"/>
            <w:vAlign w:val="center"/>
          </w:tcPr>
          <w:p>
            <w:pPr>
              <w:pStyle w:val="6"/>
              <w:spacing w:line="160" w:lineRule="atLeast"/>
              <w:jc w:val="center"/>
              <w:rPr>
                <w:rFonts w:hint="eastAsia" w:ascii="宋体" w:hAnsi="宋体" w:eastAsia="宋体" w:cs="宋体"/>
                <w:color w:val="auto"/>
                <w:sz w:val="24"/>
                <w:szCs w:val="24"/>
                <w:highlight w:val="none"/>
                <w:lang w:val="en-US" w:eastAsia="zh-CN"/>
              </w:rPr>
            </w:pPr>
          </w:p>
        </w:tc>
        <w:tc>
          <w:tcPr>
            <w:tcW w:w="567" w:type="dxa"/>
            <w:vMerge w:val="continue"/>
            <w:noWrap w:val="0"/>
            <w:vAlign w:val="center"/>
          </w:tcPr>
          <w:p>
            <w:pPr>
              <w:pStyle w:val="6"/>
              <w:spacing w:line="160" w:lineRule="atLeast"/>
              <w:ind w:leftChars="-48" w:right="-42" w:rightChars="-15" w:hanging="153" w:hangingChars="64"/>
              <w:jc w:val="center"/>
              <w:rPr>
                <w:rFonts w:hint="eastAsia" w:ascii="宋体" w:hAnsi="宋体" w:eastAsia="宋体" w:cs="宋体"/>
                <w:color w:val="auto"/>
                <w:sz w:val="24"/>
                <w:szCs w:val="24"/>
                <w:highlight w:val="none"/>
                <w:lang w:val="en-US" w:eastAsia="zh-CN"/>
              </w:rPr>
            </w:pPr>
          </w:p>
        </w:tc>
        <w:tc>
          <w:tcPr>
            <w:tcW w:w="5845" w:type="dxa"/>
            <w:noWrap w:val="0"/>
            <w:vAlign w:val="center"/>
          </w:tcPr>
          <w:p>
            <w:pPr>
              <w:spacing w:line="400" w:lineRule="atLeas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描述，步骤、程序、可行性一般得3.0分。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41" w:type="dxa"/>
            <w:vMerge w:val="continue"/>
            <w:noWrap w:val="0"/>
            <w:vAlign w:val="center"/>
          </w:tcPr>
          <w:p>
            <w:pPr>
              <w:pStyle w:val="6"/>
              <w:spacing w:line="160" w:lineRule="atLeast"/>
              <w:jc w:val="center"/>
              <w:rPr>
                <w:rFonts w:hint="eastAsia" w:ascii="宋体" w:hAnsi="宋体" w:eastAsia="宋体" w:cs="宋体"/>
                <w:color w:val="auto"/>
                <w:sz w:val="24"/>
                <w:szCs w:val="24"/>
                <w:highlight w:val="none"/>
                <w:lang w:val="en-US" w:eastAsia="zh-CN"/>
              </w:rPr>
            </w:pPr>
          </w:p>
        </w:tc>
        <w:tc>
          <w:tcPr>
            <w:tcW w:w="741" w:type="dxa"/>
            <w:vMerge w:val="continue"/>
            <w:noWrap w:val="0"/>
            <w:vAlign w:val="top"/>
          </w:tcPr>
          <w:p>
            <w:pPr>
              <w:pStyle w:val="6"/>
              <w:spacing w:line="160" w:lineRule="atLeast"/>
              <w:jc w:val="center"/>
              <w:rPr>
                <w:rFonts w:hint="eastAsia" w:ascii="宋体" w:hAnsi="宋体" w:eastAsia="宋体" w:cs="宋体"/>
                <w:color w:val="auto"/>
                <w:sz w:val="24"/>
                <w:szCs w:val="24"/>
                <w:highlight w:val="none"/>
                <w:lang w:val="en-US" w:eastAsia="zh-CN"/>
              </w:rPr>
            </w:pPr>
          </w:p>
        </w:tc>
        <w:tc>
          <w:tcPr>
            <w:tcW w:w="624" w:type="dxa"/>
            <w:vMerge w:val="continue"/>
            <w:noWrap w:val="0"/>
            <w:vAlign w:val="center"/>
          </w:tcPr>
          <w:p>
            <w:pPr>
              <w:pStyle w:val="6"/>
              <w:spacing w:line="160" w:lineRule="atLeast"/>
              <w:jc w:val="center"/>
              <w:rPr>
                <w:rFonts w:hint="eastAsia" w:ascii="宋体" w:hAnsi="宋体" w:eastAsia="宋体" w:cs="宋体"/>
                <w:color w:val="auto"/>
                <w:sz w:val="24"/>
                <w:szCs w:val="24"/>
                <w:highlight w:val="none"/>
                <w:lang w:val="en-US" w:eastAsia="zh-CN"/>
              </w:rPr>
            </w:pPr>
          </w:p>
        </w:tc>
        <w:tc>
          <w:tcPr>
            <w:tcW w:w="1134" w:type="dxa"/>
            <w:vMerge w:val="restart"/>
            <w:noWrap w:val="0"/>
            <w:vAlign w:val="center"/>
          </w:tcPr>
          <w:p>
            <w:pPr>
              <w:pStyle w:val="6"/>
              <w:spacing w:line="160" w:lineRule="atLeas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重点及难点分析</w:t>
            </w:r>
          </w:p>
        </w:tc>
        <w:tc>
          <w:tcPr>
            <w:tcW w:w="567" w:type="dxa"/>
            <w:vMerge w:val="restart"/>
            <w:noWrap w:val="0"/>
            <w:vAlign w:val="center"/>
          </w:tcPr>
          <w:p>
            <w:pPr>
              <w:pStyle w:val="6"/>
              <w:spacing w:line="160" w:lineRule="atLeast"/>
              <w:ind w:leftChars="-48" w:right="-42" w:rightChars="-15" w:hanging="153" w:hangingChars="64"/>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10分</w:t>
            </w:r>
          </w:p>
        </w:tc>
        <w:tc>
          <w:tcPr>
            <w:tcW w:w="5845" w:type="dxa"/>
            <w:noWrap w:val="0"/>
            <w:vAlign w:val="center"/>
          </w:tcPr>
          <w:p>
            <w:pPr>
              <w:spacing w:line="400" w:lineRule="atLeas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分析透彻、措施具体得力得8.</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41" w:type="dxa"/>
            <w:vMerge w:val="continue"/>
            <w:noWrap w:val="0"/>
            <w:vAlign w:val="top"/>
          </w:tcPr>
          <w:p>
            <w:pPr>
              <w:pStyle w:val="6"/>
              <w:spacing w:line="160" w:lineRule="atLeast"/>
              <w:jc w:val="center"/>
              <w:rPr>
                <w:rFonts w:hint="eastAsia" w:ascii="宋体" w:hAnsi="宋体" w:eastAsia="宋体" w:cs="宋体"/>
                <w:color w:val="auto"/>
                <w:sz w:val="24"/>
                <w:szCs w:val="24"/>
                <w:highlight w:val="none"/>
                <w:lang w:val="en-US" w:eastAsia="zh-CN"/>
              </w:rPr>
            </w:pPr>
          </w:p>
        </w:tc>
        <w:tc>
          <w:tcPr>
            <w:tcW w:w="741" w:type="dxa"/>
            <w:vMerge w:val="continue"/>
            <w:noWrap w:val="0"/>
            <w:vAlign w:val="top"/>
          </w:tcPr>
          <w:p>
            <w:pPr>
              <w:pStyle w:val="6"/>
              <w:spacing w:line="160" w:lineRule="atLeast"/>
              <w:jc w:val="center"/>
              <w:rPr>
                <w:rFonts w:hint="eastAsia" w:ascii="宋体" w:hAnsi="宋体" w:eastAsia="宋体" w:cs="宋体"/>
                <w:color w:val="auto"/>
                <w:sz w:val="24"/>
                <w:szCs w:val="24"/>
                <w:highlight w:val="none"/>
                <w:lang w:val="en-US" w:eastAsia="zh-CN"/>
              </w:rPr>
            </w:pPr>
          </w:p>
        </w:tc>
        <w:tc>
          <w:tcPr>
            <w:tcW w:w="624" w:type="dxa"/>
            <w:vMerge w:val="continue"/>
            <w:noWrap w:val="0"/>
            <w:vAlign w:val="top"/>
          </w:tcPr>
          <w:p>
            <w:pPr>
              <w:pStyle w:val="6"/>
              <w:spacing w:line="160" w:lineRule="atLeast"/>
              <w:jc w:val="center"/>
              <w:rPr>
                <w:rFonts w:hint="eastAsia" w:ascii="宋体" w:hAnsi="宋体" w:eastAsia="宋体" w:cs="宋体"/>
                <w:color w:val="auto"/>
                <w:sz w:val="24"/>
                <w:szCs w:val="24"/>
                <w:highlight w:val="none"/>
                <w:lang w:val="en-US" w:eastAsia="zh-CN"/>
              </w:rPr>
            </w:pPr>
          </w:p>
        </w:tc>
        <w:tc>
          <w:tcPr>
            <w:tcW w:w="1134" w:type="dxa"/>
            <w:vMerge w:val="continue"/>
            <w:noWrap w:val="0"/>
            <w:vAlign w:val="top"/>
          </w:tcPr>
          <w:p>
            <w:pPr>
              <w:pStyle w:val="6"/>
              <w:spacing w:line="160" w:lineRule="atLeast"/>
              <w:jc w:val="center"/>
              <w:rPr>
                <w:rFonts w:hint="eastAsia" w:ascii="宋体" w:hAnsi="宋体" w:eastAsia="宋体" w:cs="宋体"/>
                <w:color w:val="auto"/>
                <w:sz w:val="24"/>
                <w:szCs w:val="24"/>
                <w:highlight w:val="none"/>
                <w:lang w:val="en-US" w:eastAsia="zh-CN"/>
              </w:rPr>
            </w:pPr>
          </w:p>
        </w:tc>
        <w:tc>
          <w:tcPr>
            <w:tcW w:w="567" w:type="dxa"/>
            <w:vMerge w:val="continue"/>
            <w:noWrap w:val="0"/>
            <w:vAlign w:val="center"/>
          </w:tcPr>
          <w:p>
            <w:pPr>
              <w:pStyle w:val="6"/>
              <w:spacing w:line="160" w:lineRule="atLeast"/>
              <w:jc w:val="center"/>
              <w:rPr>
                <w:rFonts w:hint="eastAsia" w:ascii="宋体" w:hAnsi="宋体" w:eastAsia="宋体" w:cs="宋体"/>
                <w:color w:val="auto"/>
                <w:sz w:val="24"/>
                <w:szCs w:val="24"/>
                <w:highlight w:val="none"/>
                <w:lang w:val="en-US" w:eastAsia="zh-CN"/>
              </w:rPr>
            </w:pPr>
          </w:p>
        </w:tc>
        <w:tc>
          <w:tcPr>
            <w:tcW w:w="5845" w:type="dxa"/>
            <w:noWrap w:val="0"/>
            <w:vAlign w:val="center"/>
          </w:tcPr>
          <w:p>
            <w:pPr>
              <w:widowControl/>
              <w:spacing w:line="400" w:lineRule="atLeas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分析较全面、措施较得力得</w:t>
            </w:r>
            <w:r>
              <w:rPr>
                <w:rFonts w:hint="eastAsia" w:ascii="宋体" w:hAnsi="宋体" w:eastAsia="宋体" w:cs="宋体"/>
                <w:color w:val="auto"/>
                <w:sz w:val="24"/>
                <w:szCs w:val="24"/>
                <w:highlight w:val="none"/>
                <w:lang w:val="en-US" w:eastAsia="zh-CN"/>
              </w:rPr>
              <w:t>6.0</w:t>
            </w:r>
            <w:r>
              <w:rPr>
                <w:rFonts w:hint="eastAsia" w:ascii="宋体" w:hAnsi="宋体" w:eastAsia="宋体" w:cs="宋体"/>
                <w:color w:val="auto"/>
                <w:sz w:val="24"/>
                <w:szCs w:val="24"/>
                <w:highlight w:val="none"/>
              </w:rPr>
              <w:t>-8.0分。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41" w:type="dxa"/>
            <w:vMerge w:val="continue"/>
            <w:noWrap w:val="0"/>
            <w:vAlign w:val="top"/>
          </w:tcPr>
          <w:p>
            <w:pPr>
              <w:pStyle w:val="6"/>
              <w:spacing w:line="160" w:lineRule="atLeast"/>
              <w:jc w:val="center"/>
              <w:rPr>
                <w:rFonts w:hint="eastAsia" w:ascii="宋体" w:hAnsi="宋体" w:eastAsia="宋体" w:cs="宋体"/>
                <w:color w:val="auto"/>
                <w:sz w:val="24"/>
                <w:szCs w:val="24"/>
                <w:highlight w:val="none"/>
                <w:lang w:val="en-US" w:eastAsia="zh-CN"/>
              </w:rPr>
            </w:pPr>
          </w:p>
        </w:tc>
        <w:tc>
          <w:tcPr>
            <w:tcW w:w="741" w:type="dxa"/>
            <w:vMerge w:val="continue"/>
            <w:noWrap w:val="0"/>
            <w:vAlign w:val="top"/>
          </w:tcPr>
          <w:p>
            <w:pPr>
              <w:pStyle w:val="6"/>
              <w:spacing w:line="160" w:lineRule="atLeast"/>
              <w:jc w:val="center"/>
              <w:rPr>
                <w:rFonts w:hint="eastAsia" w:ascii="宋体" w:hAnsi="宋体" w:eastAsia="宋体" w:cs="宋体"/>
                <w:color w:val="auto"/>
                <w:sz w:val="24"/>
                <w:szCs w:val="24"/>
                <w:highlight w:val="none"/>
                <w:lang w:val="en-US" w:eastAsia="zh-CN"/>
              </w:rPr>
            </w:pPr>
          </w:p>
        </w:tc>
        <w:tc>
          <w:tcPr>
            <w:tcW w:w="624" w:type="dxa"/>
            <w:vMerge w:val="continue"/>
            <w:noWrap w:val="0"/>
            <w:vAlign w:val="top"/>
          </w:tcPr>
          <w:p>
            <w:pPr>
              <w:pStyle w:val="6"/>
              <w:spacing w:line="160" w:lineRule="atLeast"/>
              <w:jc w:val="center"/>
              <w:rPr>
                <w:rFonts w:hint="eastAsia" w:ascii="宋体" w:hAnsi="宋体" w:eastAsia="宋体" w:cs="宋体"/>
                <w:color w:val="auto"/>
                <w:sz w:val="24"/>
                <w:szCs w:val="24"/>
                <w:highlight w:val="none"/>
                <w:lang w:val="en-US" w:eastAsia="zh-CN"/>
              </w:rPr>
            </w:pPr>
          </w:p>
        </w:tc>
        <w:tc>
          <w:tcPr>
            <w:tcW w:w="1134" w:type="dxa"/>
            <w:vMerge w:val="continue"/>
            <w:noWrap w:val="0"/>
            <w:vAlign w:val="top"/>
          </w:tcPr>
          <w:p>
            <w:pPr>
              <w:pStyle w:val="6"/>
              <w:spacing w:line="160" w:lineRule="atLeast"/>
              <w:jc w:val="center"/>
              <w:rPr>
                <w:rFonts w:hint="eastAsia" w:ascii="宋体" w:hAnsi="宋体" w:eastAsia="宋体" w:cs="宋体"/>
                <w:color w:val="auto"/>
                <w:sz w:val="24"/>
                <w:szCs w:val="24"/>
                <w:highlight w:val="none"/>
                <w:lang w:val="en-US" w:eastAsia="zh-CN"/>
              </w:rPr>
            </w:pPr>
          </w:p>
        </w:tc>
        <w:tc>
          <w:tcPr>
            <w:tcW w:w="567" w:type="dxa"/>
            <w:vMerge w:val="continue"/>
            <w:noWrap w:val="0"/>
            <w:vAlign w:val="center"/>
          </w:tcPr>
          <w:p>
            <w:pPr>
              <w:pStyle w:val="6"/>
              <w:spacing w:line="160" w:lineRule="atLeast"/>
              <w:jc w:val="center"/>
              <w:rPr>
                <w:rFonts w:hint="eastAsia" w:ascii="宋体" w:hAnsi="宋体" w:eastAsia="宋体" w:cs="宋体"/>
                <w:color w:val="auto"/>
                <w:sz w:val="24"/>
                <w:szCs w:val="24"/>
                <w:highlight w:val="none"/>
                <w:lang w:val="en-US" w:eastAsia="zh-CN"/>
              </w:rPr>
            </w:pPr>
          </w:p>
        </w:tc>
        <w:tc>
          <w:tcPr>
            <w:tcW w:w="5845" w:type="dxa"/>
            <w:noWrap w:val="0"/>
            <w:vAlign w:val="center"/>
          </w:tcPr>
          <w:p>
            <w:pPr>
              <w:widowControl/>
              <w:spacing w:line="400" w:lineRule="atLeas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分析</w:t>
            </w:r>
            <w:r>
              <w:rPr>
                <w:rFonts w:hint="eastAsia" w:ascii="宋体" w:hAnsi="宋体" w:eastAsia="宋体" w:cs="宋体"/>
                <w:color w:val="auto"/>
                <w:sz w:val="24"/>
                <w:szCs w:val="24"/>
                <w:highlight w:val="none"/>
              </w:rPr>
              <w:t>一般</w:t>
            </w:r>
            <w:r>
              <w:rPr>
                <w:rFonts w:hint="eastAsia" w:ascii="宋体" w:hAnsi="宋体" w:eastAsia="宋体" w:cs="宋体"/>
                <w:color w:val="auto"/>
                <w:sz w:val="24"/>
                <w:szCs w:val="24"/>
                <w:highlight w:val="none"/>
                <w:lang w:eastAsia="zh-CN"/>
              </w:rPr>
              <w:t>，措施满足项目要求</w:t>
            </w:r>
            <w:r>
              <w:rPr>
                <w:rFonts w:hint="eastAsia" w:ascii="宋体" w:hAnsi="宋体" w:eastAsia="宋体" w:cs="宋体"/>
                <w:color w:val="auto"/>
                <w:sz w:val="24"/>
                <w:szCs w:val="24"/>
                <w:highlight w:val="none"/>
              </w:rPr>
              <w:t>得6.0分。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2" w:hRule="atLeast"/>
          <w:jc w:val="center"/>
        </w:trPr>
        <w:tc>
          <w:tcPr>
            <w:tcW w:w="741" w:type="dxa"/>
            <w:vMerge w:val="continue"/>
            <w:noWrap w:val="0"/>
            <w:vAlign w:val="center"/>
          </w:tcPr>
          <w:p>
            <w:pPr>
              <w:pStyle w:val="6"/>
              <w:spacing w:line="160" w:lineRule="atLeast"/>
              <w:jc w:val="center"/>
              <w:rPr>
                <w:rFonts w:hint="eastAsia" w:ascii="宋体" w:hAnsi="宋体" w:eastAsia="宋体" w:cs="宋体"/>
                <w:color w:val="auto"/>
                <w:sz w:val="24"/>
                <w:szCs w:val="24"/>
                <w:highlight w:val="none"/>
                <w:lang w:val="en-US" w:eastAsia="zh-CN"/>
              </w:rPr>
            </w:pPr>
          </w:p>
        </w:tc>
        <w:tc>
          <w:tcPr>
            <w:tcW w:w="741" w:type="dxa"/>
            <w:vMerge w:val="continue"/>
            <w:noWrap w:val="0"/>
            <w:vAlign w:val="top"/>
          </w:tcPr>
          <w:p>
            <w:pPr>
              <w:pStyle w:val="6"/>
              <w:spacing w:line="160" w:lineRule="atLeast"/>
              <w:jc w:val="center"/>
              <w:rPr>
                <w:rFonts w:hint="eastAsia" w:ascii="宋体" w:hAnsi="宋体" w:eastAsia="宋体" w:cs="宋体"/>
                <w:color w:val="auto"/>
                <w:sz w:val="24"/>
                <w:szCs w:val="24"/>
                <w:highlight w:val="none"/>
                <w:lang w:val="en-US" w:eastAsia="zh-CN"/>
              </w:rPr>
            </w:pPr>
          </w:p>
        </w:tc>
        <w:tc>
          <w:tcPr>
            <w:tcW w:w="624" w:type="dxa"/>
            <w:vMerge w:val="continue"/>
            <w:noWrap w:val="0"/>
            <w:vAlign w:val="center"/>
          </w:tcPr>
          <w:p>
            <w:pPr>
              <w:pStyle w:val="6"/>
              <w:spacing w:line="160" w:lineRule="atLeast"/>
              <w:jc w:val="center"/>
              <w:rPr>
                <w:rFonts w:hint="eastAsia" w:ascii="宋体" w:hAnsi="宋体" w:eastAsia="宋体" w:cs="宋体"/>
                <w:color w:val="auto"/>
                <w:sz w:val="24"/>
                <w:szCs w:val="24"/>
                <w:highlight w:val="none"/>
                <w:lang w:val="en-US" w:eastAsia="zh-CN"/>
              </w:rPr>
            </w:pPr>
          </w:p>
        </w:tc>
        <w:tc>
          <w:tcPr>
            <w:tcW w:w="1134" w:type="dxa"/>
            <w:vMerge w:val="restart"/>
            <w:noWrap w:val="0"/>
            <w:vAlign w:val="center"/>
          </w:tcPr>
          <w:p>
            <w:pPr>
              <w:pStyle w:val="6"/>
              <w:spacing w:line="160" w:lineRule="atLeast"/>
              <w:ind w:right="-78" w:rightChars="-28"/>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审计工作质量控制方法及措施</w:t>
            </w:r>
          </w:p>
        </w:tc>
        <w:tc>
          <w:tcPr>
            <w:tcW w:w="567" w:type="dxa"/>
            <w:vMerge w:val="restart"/>
            <w:noWrap w:val="0"/>
            <w:vAlign w:val="center"/>
          </w:tcPr>
          <w:p>
            <w:pPr>
              <w:pStyle w:val="6"/>
              <w:spacing w:line="160" w:lineRule="atLeas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10分</w:t>
            </w:r>
          </w:p>
        </w:tc>
        <w:tc>
          <w:tcPr>
            <w:tcW w:w="5845" w:type="dxa"/>
            <w:noWrap w:val="0"/>
            <w:vAlign w:val="center"/>
          </w:tcPr>
          <w:p>
            <w:pPr>
              <w:spacing w:line="400" w:lineRule="atLeast"/>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bidi="ar"/>
              </w:rPr>
              <w:t>拟采取的控制方法及措施符合法律法规要求，针对性、可操作性强</w:t>
            </w:r>
            <w:r>
              <w:rPr>
                <w:rFonts w:hint="eastAsia" w:ascii="宋体" w:hAnsi="宋体" w:eastAsia="宋体" w:cs="宋体"/>
                <w:color w:val="auto"/>
                <w:sz w:val="24"/>
                <w:szCs w:val="24"/>
                <w:highlight w:val="none"/>
              </w:rPr>
              <w:t>得8.</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2" w:hRule="atLeast"/>
          <w:jc w:val="center"/>
        </w:trPr>
        <w:tc>
          <w:tcPr>
            <w:tcW w:w="741" w:type="dxa"/>
            <w:vMerge w:val="continue"/>
            <w:noWrap w:val="0"/>
            <w:vAlign w:val="top"/>
          </w:tcPr>
          <w:p>
            <w:pPr>
              <w:pStyle w:val="6"/>
              <w:spacing w:line="160" w:lineRule="atLeast"/>
              <w:jc w:val="center"/>
              <w:rPr>
                <w:rFonts w:hint="eastAsia" w:ascii="宋体" w:hAnsi="宋体" w:eastAsia="宋体" w:cs="宋体"/>
                <w:color w:val="auto"/>
                <w:sz w:val="24"/>
                <w:szCs w:val="24"/>
                <w:highlight w:val="none"/>
                <w:lang w:val="en-US" w:eastAsia="zh-CN"/>
              </w:rPr>
            </w:pPr>
          </w:p>
        </w:tc>
        <w:tc>
          <w:tcPr>
            <w:tcW w:w="741" w:type="dxa"/>
            <w:vMerge w:val="continue"/>
            <w:noWrap w:val="0"/>
            <w:vAlign w:val="top"/>
          </w:tcPr>
          <w:p>
            <w:pPr>
              <w:pStyle w:val="6"/>
              <w:spacing w:line="160" w:lineRule="atLeast"/>
              <w:jc w:val="center"/>
              <w:rPr>
                <w:rFonts w:hint="eastAsia" w:ascii="宋体" w:hAnsi="宋体" w:eastAsia="宋体" w:cs="宋体"/>
                <w:color w:val="auto"/>
                <w:sz w:val="24"/>
                <w:szCs w:val="24"/>
                <w:highlight w:val="none"/>
                <w:lang w:val="en-US" w:eastAsia="zh-CN"/>
              </w:rPr>
            </w:pPr>
          </w:p>
        </w:tc>
        <w:tc>
          <w:tcPr>
            <w:tcW w:w="624" w:type="dxa"/>
            <w:vMerge w:val="continue"/>
            <w:noWrap w:val="0"/>
            <w:vAlign w:val="top"/>
          </w:tcPr>
          <w:p>
            <w:pPr>
              <w:pStyle w:val="6"/>
              <w:spacing w:line="160" w:lineRule="atLeast"/>
              <w:jc w:val="center"/>
              <w:rPr>
                <w:rFonts w:hint="eastAsia" w:ascii="宋体" w:hAnsi="宋体" w:eastAsia="宋体" w:cs="宋体"/>
                <w:color w:val="auto"/>
                <w:sz w:val="24"/>
                <w:szCs w:val="24"/>
                <w:highlight w:val="none"/>
                <w:lang w:val="en-US" w:eastAsia="zh-CN"/>
              </w:rPr>
            </w:pPr>
          </w:p>
        </w:tc>
        <w:tc>
          <w:tcPr>
            <w:tcW w:w="1134" w:type="dxa"/>
            <w:vMerge w:val="continue"/>
            <w:noWrap w:val="0"/>
            <w:vAlign w:val="top"/>
          </w:tcPr>
          <w:p>
            <w:pPr>
              <w:pStyle w:val="6"/>
              <w:spacing w:line="160" w:lineRule="atLeast"/>
              <w:jc w:val="center"/>
              <w:rPr>
                <w:rFonts w:hint="eastAsia" w:ascii="宋体" w:hAnsi="宋体" w:eastAsia="宋体" w:cs="宋体"/>
                <w:color w:val="auto"/>
                <w:sz w:val="24"/>
                <w:szCs w:val="24"/>
                <w:highlight w:val="none"/>
                <w:lang w:val="en-US" w:eastAsia="zh-CN"/>
              </w:rPr>
            </w:pPr>
          </w:p>
        </w:tc>
        <w:tc>
          <w:tcPr>
            <w:tcW w:w="567" w:type="dxa"/>
            <w:vMerge w:val="continue"/>
            <w:noWrap w:val="0"/>
            <w:vAlign w:val="center"/>
          </w:tcPr>
          <w:p>
            <w:pPr>
              <w:pStyle w:val="6"/>
              <w:spacing w:line="160" w:lineRule="atLeast"/>
              <w:jc w:val="center"/>
              <w:rPr>
                <w:rFonts w:hint="eastAsia" w:ascii="宋体" w:hAnsi="宋体" w:eastAsia="宋体" w:cs="宋体"/>
                <w:color w:val="auto"/>
                <w:sz w:val="24"/>
                <w:szCs w:val="24"/>
                <w:highlight w:val="none"/>
                <w:lang w:val="en-US" w:eastAsia="zh-CN"/>
              </w:rPr>
            </w:pPr>
          </w:p>
        </w:tc>
        <w:tc>
          <w:tcPr>
            <w:tcW w:w="5845" w:type="dxa"/>
            <w:noWrap w:val="0"/>
            <w:vAlign w:val="center"/>
          </w:tcPr>
          <w:p>
            <w:pPr>
              <w:spacing w:line="400" w:lineRule="atLeast"/>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bidi="ar"/>
              </w:rPr>
              <w:t>拟采取的控制方法及措施符合法律法规要求，针对性、可操作性较强</w:t>
            </w:r>
            <w:r>
              <w:rPr>
                <w:rFonts w:hint="eastAsia" w:ascii="宋体" w:hAnsi="宋体" w:eastAsia="宋体" w:cs="宋体"/>
                <w:color w:val="auto"/>
                <w:sz w:val="24"/>
                <w:szCs w:val="24"/>
                <w:highlight w:val="none"/>
              </w:rPr>
              <w:t>得</w:t>
            </w:r>
            <w:r>
              <w:rPr>
                <w:rFonts w:hint="eastAsia" w:ascii="宋体" w:hAnsi="宋体" w:eastAsia="宋体" w:cs="宋体"/>
                <w:color w:val="auto"/>
                <w:kern w:val="0"/>
                <w:sz w:val="24"/>
                <w:szCs w:val="24"/>
                <w:highlight w:val="none"/>
                <w:lang w:val="en-US" w:eastAsia="zh-CN" w:bidi="ar"/>
              </w:rPr>
              <w:t>6.0</w:t>
            </w:r>
            <w:r>
              <w:rPr>
                <w:rFonts w:hint="eastAsia" w:ascii="宋体" w:hAnsi="宋体" w:eastAsia="宋体" w:cs="宋体"/>
                <w:color w:val="auto"/>
                <w:kern w:val="0"/>
                <w:sz w:val="24"/>
                <w:szCs w:val="24"/>
                <w:highlight w:val="none"/>
                <w:lang w:bidi="ar"/>
              </w:rPr>
              <w:t>-8.0分。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2" w:hRule="atLeast"/>
          <w:jc w:val="center"/>
        </w:trPr>
        <w:tc>
          <w:tcPr>
            <w:tcW w:w="741" w:type="dxa"/>
            <w:vMerge w:val="continue"/>
            <w:noWrap w:val="0"/>
            <w:vAlign w:val="top"/>
          </w:tcPr>
          <w:p>
            <w:pPr>
              <w:pStyle w:val="6"/>
              <w:spacing w:line="160" w:lineRule="atLeast"/>
              <w:jc w:val="center"/>
              <w:rPr>
                <w:rFonts w:hint="eastAsia" w:ascii="宋体" w:hAnsi="宋体" w:eastAsia="宋体" w:cs="宋体"/>
                <w:color w:val="auto"/>
                <w:sz w:val="24"/>
                <w:szCs w:val="24"/>
                <w:highlight w:val="none"/>
                <w:lang w:val="en-US" w:eastAsia="zh-CN"/>
              </w:rPr>
            </w:pPr>
          </w:p>
        </w:tc>
        <w:tc>
          <w:tcPr>
            <w:tcW w:w="741" w:type="dxa"/>
            <w:vMerge w:val="continue"/>
            <w:noWrap w:val="0"/>
            <w:vAlign w:val="top"/>
          </w:tcPr>
          <w:p>
            <w:pPr>
              <w:pStyle w:val="6"/>
              <w:spacing w:line="160" w:lineRule="atLeast"/>
              <w:jc w:val="center"/>
              <w:rPr>
                <w:rFonts w:hint="eastAsia" w:ascii="宋体" w:hAnsi="宋体" w:eastAsia="宋体" w:cs="宋体"/>
                <w:color w:val="auto"/>
                <w:sz w:val="24"/>
                <w:szCs w:val="24"/>
                <w:highlight w:val="none"/>
                <w:lang w:val="en-US" w:eastAsia="zh-CN"/>
              </w:rPr>
            </w:pPr>
          </w:p>
        </w:tc>
        <w:tc>
          <w:tcPr>
            <w:tcW w:w="624" w:type="dxa"/>
            <w:vMerge w:val="continue"/>
            <w:noWrap w:val="0"/>
            <w:vAlign w:val="top"/>
          </w:tcPr>
          <w:p>
            <w:pPr>
              <w:pStyle w:val="6"/>
              <w:spacing w:line="160" w:lineRule="atLeast"/>
              <w:jc w:val="center"/>
              <w:rPr>
                <w:rFonts w:hint="eastAsia" w:ascii="宋体" w:hAnsi="宋体" w:eastAsia="宋体" w:cs="宋体"/>
                <w:color w:val="auto"/>
                <w:sz w:val="24"/>
                <w:szCs w:val="24"/>
                <w:highlight w:val="none"/>
                <w:lang w:val="en-US" w:eastAsia="zh-CN"/>
              </w:rPr>
            </w:pPr>
          </w:p>
        </w:tc>
        <w:tc>
          <w:tcPr>
            <w:tcW w:w="1134" w:type="dxa"/>
            <w:vMerge w:val="continue"/>
            <w:noWrap w:val="0"/>
            <w:vAlign w:val="top"/>
          </w:tcPr>
          <w:p>
            <w:pPr>
              <w:pStyle w:val="6"/>
              <w:spacing w:line="160" w:lineRule="atLeast"/>
              <w:jc w:val="center"/>
              <w:rPr>
                <w:rFonts w:hint="eastAsia" w:ascii="宋体" w:hAnsi="宋体" w:eastAsia="宋体" w:cs="宋体"/>
                <w:color w:val="auto"/>
                <w:sz w:val="24"/>
                <w:szCs w:val="24"/>
                <w:highlight w:val="none"/>
                <w:lang w:val="en-US" w:eastAsia="zh-CN"/>
              </w:rPr>
            </w:pPr>
          </w:p>
        </w:tc>
        <w:tc>
          <w:tcPr>
            <w:tcW w:w="567" w:type="dxa"/>
            <w:vMerge w:val="continue"/>
            <w:noWrap w:val="0"/>
            <w:vAlign w:val="center"/>
          </w:tcPr>
          <w:p>
            <w:pPr>
              <w:pStyle w:val="6"/>
              <w:spacing w:line="160" w:lineRule="atLeast"/>
              <w:jc w:val="center"/>
              <w:rPr>
                <w:rFonts w:hint="eastAsia" w:ascii="宋体" w:hAnsi="宋体" w:eastAsia="宋体" w:cs="宋体"/>
                <w:color w:val="auto"/>
                <w:sz w:val="24"/>
                <w:szCs w:val="24"/>
                <w:highlight w:val="none"/>
                <w:lang w:val="en-US" w:eastAsia="zh-CN"/>
              </w:rPr>
            </w:pPr>
          </w:p>
        </w:tc>
        <w:tc>
          <w:tcPr>
            <w:tcW w:w="5845" w:type="dxa"/>
            <w:noWrap w:val="0"/>
            <w:vAlign w:val="center"/>
          </w:tcPr>
          <w:p>
            <w:pPr>
              <w:spacing w:line="400" w:lineRule="atLeast"/>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bidi="ar"/>
              </w:rPr>
              <w:t>拟采取的控制方法及措施符合法律法规要求，针对性、可操作性一般</w:t>
            </w:r>
            <w:r>
              <w:rPr>
                <w:rFonts w:hint="eastAsia" w:ascii="宋体" w:hAnsi="宋体" w:eastAsia="宋体" w:cs="宋体"/>
                <w:color w:val="auto"/>
                <w:kern w:val="0"/>
                <w:sz w:val="24"/>
                <w:szCs w:val="24"/>
                <w:highlight w:val="none"/>
                <w:lang w:eastAsia="zh-CN" w:bidi="ar"/>
              </w:rPr>
              <w:t>，满足项目要求</w:t>
            </w:r>
            <w:r>
              <w:rPr>
                <w:rFonts w:hint="eastAsia" w:ascii="宋体" w:hAnsi="宋体" w:eastAsia="宋体" w:cs="宋体"/>
                <w:color w:val="auto"/>
                <w:sz w:val="24"/>
                <w:szCs w:val="24"/>
                <w:highlight w:val="none"/>
              </w:rPr>
              <w:t>得6.0分。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741" w:type="dxa"/>
            <w:vMerge w:val="continue"/>
            <w:noWrap w:val="0"/>
            <w:vAlign w:val="center"/>
          </w:tcPr>
          <w:p>
            <w:pPr>
              <w:pStyle w:val="6"/>
              <w:spacing w:line="160" w:lineRule="atLeast"/>
              <w:jc w:val="center"/>
              <w:rPr>
                <w:rFonts w:hint="eastAsia" w:ascii="宋体" w:hAnsi="宋体" w:eastAsia="宋体" w:cs="宋体"/>
                <w:color w:val="auto"/>
                <w:sz w:val="24"/>
                <w:szCs w:val="24"/>
                <w:highlight w:val="none"/>
                <w:lang w:val="en-US" w:eastAsia="zh-CN"/>
              </w:rPr>
            </w:pPr>
          </w:p>
        </w:tc>
        <w:tc>
          <w:tcPr>
            <w:tcW w:w="741" w:type="dxa"/>
            <w:vMerge w:val="continue"/>
            <w:noWrap w:val="0"/>
            <w:vAlign w:val="top"/>
          </w:tcPr>
          <w:p>
            <w:pPr>
              <w:pStyle w:val="6"/>
              <w:spacing w:line="160" w:lineRule="atLeast"/>
              <w:jc w:val="center"/>
              <w:rPr>
                <w:rFonts w:hint="eastAsia" w:ascii="宋体" w:hAnsi="宋体" w:eastAsia="宋体" w:cs="宋体"/>
                <w:color w:val="auto"/>
                <w:sz w:val="24"/>
                <w:szCs w:val="24"/>
                <w:highlight w:val="none"/>
                <w:lang w:val="en-US" w:eastAsia="zh-CN"/>
              </w:rPr>
            </w:pPr>
          </w:p>
        </w:tc>
        <w:tc>
          <w:tcPr>
            <w:tcW w:w="624" w:type="dxa"/>
            <w:vMerge w:val="continue"/>
            <w:noWrap w:val="0"/>
            <w:vAlign w:val="center"/>
          </w:tcPr>
          <w:p>
            <w:pPr>
              <w:pStyle w:val="6"/>
              <w:spacing w:line="160" w:lineRule="atLeast"/>
              <w:jc w:val="center"/>
              <w:rPr>
                <w:rFonts w:hint="eastAsia" w:ascii="宋体" w:hAnsi="宋体" w:eastAsia="宋体" w:cs="宋体"/>
                <w:color w:val="auto"/>
                <w:sz w:val="24"/>
                <w:szCs w:val="24"/>
                <w:highlight w:val="none"/>
                <w:lang w:val="en-US" w:eastAsia="zh-CN"/>
              </w:rPr>
            </w:pPr>
          </w:p>
        </w:tc>
        <w:tc>
          <w:tcPr>
            <w:tcW w:w="1134" w:type="dxa"/>
            <w:vMerge w:val="restart"/>
            <w:noWrap w:val="0"/>
            <w:vAlign w:val="center"/>
          </w:tcPr>
          <w:p>
            <w:pPr>
              <w:pStyle w:val="6"/>
              <w:spacing w:line="160" w:lineRule="atLeas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审计工作进度安排</w:t>
            </w:r>
          </w:p>
        </w:tc>
        <w:tc>
          <w:tcPr>
            <w:tcW w:w="567" w:type="dxa"/>
            <w:vMerge w:val="restart"/>
            <w:noWrap w:val="0"/>
            <w:vAlign w:val="center"/>
          </w:tcPr>
          <w:p>
            <w:pPr>
              <w:pStyle w:val="6"/>
              <w:spacing w:line="160" w:lineRule="atLeas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5分</w:t>
            </w:r>
          </w:p>
        </w:tc>
        <w:tc>
          <w:tcPr>
            <w:tcW w:w="5845" w:type="dxa"/>
            <w:noWrap w:val="0"/>
            <w:vAlign w:val="center"/>
          </w:tcPr>
          <w:p>
            <w:pPr>
              <w:spacing w:line="400" w:lineRule="atLeast"/>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bidi="ar"/>
              </w:rPr>
              <w:t>进度安排合理周密，完全满足项目要求</w:t>
            </w:r>
            <w:r>
              <w:rPr>
                <w:rFonts w:hint="eastAsia" w:ascii="宋体" w:hAnsi="宋体" w:eastAsia="宋体" w:cs="宋体"/>
                <w:color w:val="auto"/>
                <w:sz w:val="24"/>
                <w:szCs w:val="24"/>
                <w:highlight w:val="none"/>
              </w:rPr>
              <w:t>得4.</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741" w:type="dxa"/>
            <w:vMerge w:val="continue"/>
            <w:noWrap w:val="0"/>
            <w:vAlign w:val="top"/>
          </w:tcPr>
          <w:p>
            <w:pPr>
              <w:pStyle w:val="6"/>
              <w:spacing w:line="160" w:lineRule="atLeast"/>
              <w:jc w:val="center"/>
              <w:rPr>
                <w:rFonts w:hint="eastAsia" w:ascii="宋体" w:hAnsi="宋体" w:eastAsia="宋体" w:cs="宋体"/>
                <w:color w:val="auto"/>
                <w:sz w:val="24"/>
                <w:szCs w:val="24"/>
                <w:highlight w:val="none"/>
                <w:lang w:val="en-US" w:eastAsia="zh-CN"/>
              </w:rPr>
            </w:pPr>
          </w:p>
        </w:tc>
        <w:tc>
          <w:tcPr>
            <w:tcW w:w="741" w:type="dxa"/>
            <w:vMerge w:val="continue"/>
            <w:noWrap w:val="0"/>
            <w:vAlign w:val="top"/>
          </w:tcPr>
          <w:p>
            <w:pPr>
              <w:pStyle w:val="6"/>
              <w:spacing w:line="160" w:lineRule="atLeast"/>
              <w:jc w:val="center"/>
              <w:rPr>
                <w:rFonts w:hint="eastAsia" w:ascii="宋体" w:hAnsi="宋体" w:eastAsia="宋体" w:cs="宋体"/>
                <w:color w:val="auto"/>
                <w:sz w:val="24"/>
                <w:szCs w:val="24"/>
                <w:highlight w:val="none"/>
                <w:lang w:val="en-US" w:eastAsia="zh-CN"/>
              </w:rPr>
            </w:pPr>
          </w:p>
        </w:tc>
        <w:tc>
          <w:tcPr>
            <w:tcW w:w="624" w:type="dxa"/>
            <w:vMerge w:val="continue"/>
            <w:noWrap w:val="0"/>
            <w:vAlign w:val="top"/>
          </w:tcPr>
          <w:p>
            <w:pPr>
              <w:pStyle w:val="6"/>
              <w:spacing w:line="160" w:lineRule="atLeast"/>
              <w:jc w:val="center"/>
              <w:rPr>
                <w:rFonts w:hint="eastAsia" w:ascii="宋体" w:hAnsi="宋体" w:eastAsia="宋体" w:cs="宋体"/>
                <w:color w:val="auto"/>
                <w:sz w:val="24"/>
                <w:szCs w:val="24"/>
                <w:highlight w:val="none"/>
                <w:lang w:val="en-US" w:eastAsia="zh-CN"/>
              </w:rPr>
            </w:pPr>
          </w:p>
        </w:tc>
        <w:tc>
          <w:tcPr>
            <w:tcW w:w="1134" w:type="dxa"/>
            <w:vMerge w:val="continue"/>
            <w:noWrap w:val="0"/>
            <w:vAlign w:val="top"/>
          </w:tcPr>
          <w:p>
            <w:pPr>
              <w:pStyle w:val="6"/>
              <w:spacing w:line="160" w:lineRule="atLeast"/>
              <w:jc w:val="center"/>
              <w:rPr>
                <w:rFonts w:hint="eastAsia" w:ascii="宋体" w:hAnsi="宋体" w:eastAsia="宋体" w:cs="宋体"/>
                <w:color w:val="auto"/>
                <w:sz w:val="24"/>
                <w:szCs w:val="24"/>
                <w:highlight w:val="none"/>
                <w:lang w:val="en-US" w:eastAsia="zh-CN"/>
              </w:rPr>
            </w:pPr>
          </w:p>
        </w:tc>
        <w:tc>
          <w:tcPr>
            <w:tcW w:w="567" w:type="dxa"/>
            <w:vMerge w:val="continue"/>
            <w:noWrap w:val="0"/>
            <w:vAlign w:val="center"/>
          </w:tcPr>
          <w:p>
            <w:pPr>
              <w:pStyle w:val="6"/>
              <w:spacing w:line="160" w:lineRule="atLeast"/>
              <w:jc w:val="center"/>
              <w:rPr>
                <w:rFonts w:hint="eastAsia" w:ascii="宋体" w:hAnsi="宋体" w:eastAsia="宋体" w:cs="宋体"/>
                <w:color w:val="auto"/>
                <w:sz w:val="24"/>
                <w:szCs w:val="24"/>
                <w:highlight w:val="none"/>
                <w:lang w:val="en-US" w:eastAsia="zh-CN"/>
              </w:rPr>
            </w:pPr>
          </w:p>
        </w:tc>
        <w:tc>
          <w:tcPr>
            <w:tcW w:w="5845" w:type="dxa"/>
            <w:noWrap w:val="0"/>
            <w:vAlign w:val="center"/>
          </w:tcPr>
          <w:p>
            <w:pPr>
              <w:spacing w:line="400" w:lineRule="atLeast"/>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bidi="ar"/>
              </w:rPr>
              <w:t>进度安排较合理，能较好满足项目要求</w:t>
            </w:r>
            <w:r>
              <w:rPr>
                <w:rFonts w:hint="eastAsia" w:ascii="宋体" w:hAnsi="宋体" w:eastAsia="宋体" w:cs="宋体"/>
                <w:color w:val="auto"/>
                <w:sz w:val="24"/>
                <w:szCs w:val="24"/>
                <w:highlight w:val="none"/>
              </w:rPr>
              <w:t>得3.</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-4.0分</w:t>
            </w:r>
            <w:r>
              <w:rPr>
                <w:rFonts w:hint="eastAsia" w:ascii="宋体" w:hAnsi="宋体" w:eastAsia="宋体" w:cs="宋体"/>
                <w:color w:val="auto"/>
                <w:kern w:val="0"/>
                <w:sz w:val="24"/>
                <w:szCs w:val="24"/>
                <w:highlight w:val="none"/>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741" w:type="dxa"/>
            <w:vMerge w:val="continue"/>
            <w:noWrap w:val="0"/>
            <w:vAlign w:val="top"/>
          </w:tcPr>
          <w:p>
            <w:pPr>
              <w:pStyle w:val="6"/>
              <w:spacing w:line="160" w:lineRule="atLeast"/>
              <w:jc w:val="center"/>
              <w:rPr>
                <w:rFonts w:hint="eastAsia" w:ascii="宋体" w:hAnsi="宋体" w:eastAsia="宋体" w:cs="宋体"/>
                <w:color w:val="auto"/>
                <w:sz w:val="24"/>
                <w:szCs w:val="24"/>
                <w:highlight w:val="none"/>
                <w:lang w:val="en-US" w:eastAsia="zh-CN"/>
              </w:rPr>
            </w:pPr>
          </w:p>
        </w:tc>
        <w:tc>
          <w:tcPr>
            <w:tcW w:w="741" w:type="dxa"/>
            <w:vMerge w:val="continue"/>
            <w:noWrap w:val="0"/>
            <w:vAlign w:val="top"/>
          </w:tcPr>
          <w:p>
            <w:pPr>
              <w:pStyle w:val="6"/>
              <w:spacing w:line="160" w:lineRule="atLeast"/>
              <w:jc w:val="center"/>
              <w:rPr>
                <w:rFonts w:hint="eastAsia" w:ascii="宋体" w:hAnsi="宋体" w:eastAsia="宋体" w:cs="宋体"/>
                <w:color w:val="auto"/>
                <w:sz w:val="24"/>
                <w:szCs w:val="24"/>
                <w:highlight w:val="none"/>
                <w:lang w:val="en-US" w:eastAsia="zh-CN"/>
              </w:rPr>
            </w:pPr>
          </w:p>
        </w:tc>
        <w:tc>
          <w:tcPr>
            <w:tcW w:w="624" w:type="dxa"/>
            <w:vMerge w:val="continue"/>
            <w:noWrap w:val="0"/>
            <w:vAlign w:val="top"/>
          </w:tcPr>
          <w:p>
            <w:pPr>
              <w:pStyle w:val="6"/>
              <w:spacing w:line="160" w:lineRule="atLeast"/>
              <w:jc w:val="center"/>
              <w:rPr>
                <w:rFonts w:hint="eastAsia" w:ascii="宋体" w:hAnsi="宋体" w:eastAsia="宋体" w:cs="宋体"/>
                <w:color w:val="auto"/>
                <w:sz w:val="24"/>
                <w:szCs w:val="24"/>
                <w:highlight w:val="none"/>
                <w:lang w:val="en-US" w:eastAsia="zh-CN"/>
              </w:rPr>
            </w:pPr>
          </w:p>
        </w:tc>
        <w:tc>
          <w:tcPr>
            <w:tcW w:w="1134" w:type="dxa"/>
            <w:vMerge w:val="continue"/>
            <w:noWrap w:val="0"/>
            <w:vAlign w:val="top"/>
          </w:tcPr>
          <w:p>
            <w:pPr>
              <w:pStyle w:val="6"/>
              <w:spacing w:line="160" w:lineRule="atLeast"/>
              <w:jc w:val="center"/>
              <w:rPr>
                <w:rFonts w:hint="eastAsia" w:ascii="宋体" w:hAnsi="宋体" w:eastAsia="宋体" w:cs="宋体"/>
                <w:color w:val="auto"/>
                <w:sz w:val="24"/>
                <w:szCs w:val="24"/>
                <w:highlight w:val="none"/>
                <w:lang w:val="en-US" w:eastAsia="zh-CN"/>
              </w:rPr>
            </w:pPr>
          </w:p>
        </w:tc>
        <w:tc>
          <w:tcPr>
            <w:tcW w:w="567" w:type="dxa"/>
            <w:vMerge w:val="continue"/>
            <w:noWrap w:val="0"/>
            <w:vAlign w:val="center"/>
          </w:tcPr>
          <w:p>
            <w:pPr>
              <w:pStyle w:val="6"/>
              <w:spacing w:line="160" w:lineRule="atLeast"/>
              <w:jc w:val="center"/>
              <w:rPr>
                <w:rFonts w:hint="eastAsia" w:ascii="宋体" w:hAnsi="宋体" w:eastAsia="宋体" w:cs="宋体"/>
                <w:color w:val="auto"/>
                <w:sz w:val="24"/>
                <w:szCs w:val="24"/>
                <w:highlight w:val="none"/>
                <w:lang w:val="en-US" w:eastAsia="zh-CN"/>
              </w:rPr>
            </w:pPr>
          </w:p>
        </w:tc>
        <w:tc>
          <w:tcPr>
            <w:tcW w:w="5845" w:type="dxa"/>
            <w:noWrap w:val="0"/>
            <w:vAlign w:val="center"/>
          </w:tcPr>
          <w:p>
            <w:pPr>
              <w:spacing w:line="400" w:lineRule="atLeast"/>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bidi="ar"/>
              </w:rPr>
              <w:t>进度安排一般，满足项目要求</w:t>
            </w:r>
            <w:r>
              <w:rPr>
                <w:rFonts w:hint="eastAsia" w:ascii="宋体" w:hAnsi="宋体" w:eastAsia="宋体" w:cs="宋体"/>
                <w:color w:val="auto"/>
                <w:sz w:val="24"/>
                <w:szCs w:val="24"/>
                <w:highlight w:val="none"/>
              </w:rPr>
              <w:t>得3.0分。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741" w:type="dxa"/>
            <w:vMerge w:val="continue"/>
            <w:noWrap w:val="0"/>
            <w:vAlign w:val="center"/>
          </w:tcPr>
          <w:p>
            <w:pPr>
              <w:pStyle w:val="6"/>
              <w:spacing w:line="160" w:lineRule="atLeast"/>
              <w:jc w:val="center"/>
              <w:rPr>
                <w:rFonts w:hint="eastAsia" w:ascii="宋体" w:hAnsi="宋体" w:eastAsia="宋体" w:cs="宋体"/>
                <w:color w:val="auto"/>
                <w:sz w:val="24"/>
                <w:szCs w:val="24"/>
                <w:highlight w:val="none"/>
                <w:lang w:val="en-US" w:eastAsia="zh-CN"/>
              </w:rPr>
            </w:pPr>
          </w:p>
        </w:tc>
        <w:tc>
          <w:tcPr>
            <w:tcW w:w="741" w:type="dxa"/>
            <w:vMerge w:val="continue"/>
            <w:noWrap w:val="0"/>
            <w:vAlign w:val="center"/>
          </w:tcPr>
          <w:p>
            <w:pPr>
              <w:pStyle w:val="6"/>
              <w:spacing w:line="160" w:lineRule="atLeast"/>
              <w:jc w:val="center"/>
              <w:rPr>
                <w:rFonts w:hint="eastAsia" w:ascii="宋体" w:hAnsi="宋体" w:eastAsia="宋体" w:cs="宋体"/>
                <w:color w:val="auto"/>
                <w:sz w:val="24"/>
                <w:szCs w:val="24"/>
                <w:highlight w:val="none"/>
                <w:lang w:val="en-US" w:eastAsia="zh-CN"/>
              </w:rPr>
            </w:pPr>
          </w:p>
        </w:tc>
        <w:tc>
          <w:tcPr>
            <w:tcW w:w="624" w:type="dxa"/>
            <w:vMerge w:val="continue"/>
            <w:noWrap w:val="0"/>
            <w:vAlign w:val="center"/>
          </w:tcPr>
          <w:p>
            <w:pPr>
              <w:pStyle w:val="6"/>
              <w:spacing w:line="160" w:lineRule="atLeast"/>
              <w:jc w:val="center"/>
              <w:rPr>
                <w:rFonts w:hint="eastAsia" w:ascii="宋体" w:hAnsi="宋体" w:eastAsia="宋体" w:cs="宋体"/>
                <w:color w:val="auto"/>
                <w:sz w:val="24"/>
                <w:szCs w:val="24"/>
                <w:highlight w:val="none"/>
                <w:lang w:val="en-US" w:eastAsia="zh-CN"/>
              </w:rPr>
            </w:pPr>
          </w:p>
        </w:tc>
        <w:tc>
          <w:tcPr>
            <w:tcW w:w="1134" w:type="dxa"/>
            <w:vMerge w:val="restart"/>
            <w:noWrap w:val="0"/>
            <w:vAlign w:val="center"/>
          </w:tcPr>
          <w:p>
            <w:pPr>
              <w:pStyle w:val="6"/>
              <w:spacing w:line="160" w:lineRule="atLeas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服务承诺及商务响应程度</w:t>
            </w:r>
          </w:p>
        </w:tc>
        <w:tc>
          <w:tcPr>
            <w:tcW w:w="567" w:type="dxa"/>
            <w:vMerge w:val="restart"/>
            <w:noWrap w:val="0"/>
            <w:vAlign w:val="center"/>
          </w:tcPr>
          <w:p>
            <w:pPr>
              <w:pStyle w:val="6"/>
              <w:spacing w:line="160" w:lineRule="atLeas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5分</w:t>
            </w:r>
          </w:p>
        </w:tc>
        <w:tc>
          <w:tcPr>
            <w:tcW w:w="5845" w:type="dxa"/>
            <w:noWrap w:val="0"/>
            <w:vAlign w:val="top"/>
          </w:tcPr>
          <w:p>
            <w:pPr>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承诺详细、具体、响应程度高得4.</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atLeast"/>
          <w:jc w:val="center"/>
        </w:trPr>
        <w:tc>
          <w:tcPr>
            <w:tcW w:w="741" w:type="dxa"/>
            <w:vMerge w:val="continue"/>
            <w:noWrap w:val="0"/>
            <w:vAlign w:val="top"/>
          </w:tcPr>
          <w:p>
            <w:pPr>
              <w:pStyle w:val="6"/>
              <w:spacing w:line="160" w:lineRule="atLeast"/>
              <w:jc w:val="center"/>
              <w:rPr>
                <w:rFonts w:hint="eastAsia" w:ascii="宋体" w:hAnsi="宋体" w:eastAsia="宋体" w:cs="宋体"/>
                <w:color w:val="auto"/>
                <w:sz w:val="24"/>
                <w:szCs w:val="24"/>
                <w:highlight w:val="none"/>
                <w:lang w:val="en-US" w:eastAsia="zh-CN"/>
              </w:rPr>
            </w:pPr>
          </w:p>
        </w:tc>
        <w:tc>
          <w:tcPr>
            <w:tcW w:w="741" w:type="dxa"/>
            <w:vMerge w:val="continue"/>
            <w:noWrap w:val="0"/>
            <w:vAlign w:val="top"/>
          </w:tcPr>
          <w:p>
            <w:pPr>
              <w:pStyle w:val="6"/>
              <w:spacing w:line="160" w:lineRule="atLeast"/>
              <w:rPr>
                <w:rFonts w:hint="eastAsia" w:ascii="宋体" w:hAnsi="宋体" w:eastAsia="宋体" w:cs="宋体"/>
                <w:color w:val="auto"/>
                <w:sz w:val="24"/>
                <w:szCs w:val="24"/>
                <w:highlight w:val="none"/>
                <w:lang w:val="en-US" w:eastAsia="zh-CN"/>
              </w:rPr>
            </w:pPr>
          </w:p>
        </w:tc>
        <w:tc>
          <w:tcPr>
            <w:tcW w:w="624" w:type="dxa"/>
            <w:vMerge w:val="continue"/>
            <w:noWrap w:val="0"/>
            <w:vAlign w:val="top"/>
          </w:tcPr>
          <w:p>
            <w:pPr>
              <w:pStyle w:val="6"/>
              <w:spacing w:line="160" w:lineRule="atLeast"/>
              <w:rPr>
                <w:rFonts w:hint="eastAsia" w:ascii="宋体" w:hAnsi="宋体" w:eastAsia="宋体" w:cs="宋体"/>
                <w:color w:val="auto"/>
                <w:sz w:val="24"/>
                <w:szCs w:val="24"/>
                <w:highlight w:val="none"/>
                <w:lang w:val="en-US" w:eastAsia="zh-CN"/>
              </w:rPr>
            </w:pPr>
          </w:p>
        </w:tc>
        <w:tc>
          <w:tcPr>
            <w:tcW w:w="1134" w:type="dxa"/>
            <w:vMerge w:val="continue"/>
            <w:noWrap w:val="0"/>
            <w:vAlign w:val="center"/>
          </w:tcPr>
          <w:p>
            <w:pPr>
              <w:pStyle w:val="6"/>
              <w:spacing w:line="160" w:lineRule="atLeast"/>
              <w:jc w:val="center"/>
              <w:rPr>
                <w:rFonts w:hint="eastAsia" w:ascii="宋体" w:hAnsi="宋体" w:eastAsia="宋体" w:cs="宋体"/>
                <w:color w:val="auto"/>
                <w:sz w:val="24"/>
                <w:szCs w:val="24"/>
                <w:highlight w:val="none"/>
                <w:lang w:val="en-US" w:eastAsia="zh-CN"/>
              </w:rPr>
            </w:pPr>
          </w:p>
        </w:tc>
        <w:tc>
          <w:tcPr>
            <w:tcW w:w="567" w:type="dxa"/>
            <w:vMerge w:val="continue"/>
            <w:noWrap w:val="0"/>
            <w:vAlign w:val="center"/>
          </w:tcPr>
          <w:p>
            <w:pPr>
              <w:pStyle w:val="6"/>
              <w:spacing w:line="160" w:lineRule="atLeast"/>
              <w:jc w:val="center"/>
              <w:rPr>
                <w:rFonts w:hint="eastAsia" w:ascii="宋体" w:hAnsi="宋体" w:eastAsia="宋体" w:cs="宋体"/>
                <w:color w:val="auto"/>
                <w:sz w:val="24"/>
                <w:szCs w:val="24"/>
                <w:highlight w:val="none"/>
                <w:lang w:val="en-US" w:eastAsia="zh-CN"/>
              </w:rPr>
            </w:pPr>
          </w:p>
        </w:tc>
        <w:tc>
          <w:tcPr>
            <w:tcW w:w="5845" w:type="dxa"/>
            <w:noWrap w:val="0"/>
            <w:vAlign w:val="top"/>
          </w:tcPr>
          <w:p>
            <w:pPr>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承诺较详细、响应程度较高得3.</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741" w:type="dxa"/>
            <w:vMerge w:val="continue"/>
            <w:noWrap w:val="0"/>
            <w:vAlign w:val="top"/>
          </w:tcPr>
          <w:p>
            <w:pPr>
              <w:pStyle w:val="6"/>
              <w:spacing w:line="160" w:lineRule="atLeast"/>
              <w:jc w:val="center"/>
              <w:rPr>
                <w:rFonts w:hint="eastAsia" w:ascii="宋体" w:hAnsi="宋体" w:eastAsia="宋体" w:cs="宋体"/>
                <w:color w:val="auto"/>
                <w:sz w:val="24"/>
                <w:szCs w:val="24"/>
                <w:highlight w:val="none"/>
                <w:lang w:val="en-US" w:eastAsia="zh-CN"/>
              </w:rPr>
            </w:pPr>
          </w:p>
        </w:tc>
        <w:tc>
          <w:tcPr>
            <w:tcW w:w="741" w:type="dxa"/>
            <w:vMerge w:val="continue"/>
            <w:noWrap w:val="0"/>
            <w:vAlign w:val="top"/>
          </w:tcPr>
          <w:p>
            <w:pPr>
              <w:pStyle w:val="6"/>
              <w:spacing w:line="160" w:lineRule="atLeast"/>
              <w:rPr>
                <w:rFonts w:hint="eastAsia" w:ascii="宋体" w:hAnsi="宋体" w:eastAsia="宋体" w:cs="宋体"/>
                <w:color w:val="auto"/>
                <w:sz w:val="24"/>
                <w:szCs w:val="24"/>
                <w:highlight w:val="none"/>
                <w:lang w:val="en-US" w:eastAsia="zh-CN"/>
              </w:rPr>
            </w:pPr>
          </w:p>
        </w:tc>
        <w:tc>
          <w:tcPr>
            <w:tcW w:w="624" w:type="dxa"/>
            <w:vMerge w:val="continue"/>
            <w:noWrap w:val="0"/>
            <w:vAlign w:val="top"/>
          </w:tcPr>
          <w:p>
            <w:pPr>
              <w:pStyle w:val="6"/>
              <w:spacing w:line="160" w:lineRule="atLeast"/>
              <w:rPr>
                <w:rFonts w:hint="eastAsia" w:ascii="宋体" w:hAnsi="宋体" w:eastAsia="宋体" w:cs="宋体"/>
                <w:color w:val="auto"/>
                <w:sz w:val="24"/>
                <w:szCs w:val="24"/>
                <w:highlight w:val="none"/>
                <w:lang w:val="en-US" w:eastAsia="zh-CN"/>
              </w:rPr>
            </w:pPr>
          </w:p>
        </w:tc>
        <w:tc>
          <w:tcPr>
            <w:tcW w:w="1134" w:type="dxa"/>
            <w:vMerge w:val="continue"/>
            <w:tcBorders>
              <w:bottom w:val="single" w:color="auto" w:sz="4" w:space="0"/>
            </w:tcBorders>
            <w:noWrap w:val="0"/>
            <w:vAlign w:val="center"/>
          </w:tcPr>
          <w:p>
            <w:pPr>
              <w:pStyle w:val="6"/>
              <w:spacing w:line="160" w:lineRule="atLeast"/>
              <w:jc w:val="center"/>
              <w:rPr>
                <w:rFonts w:hint="eastAsia" w:ascii="宋体" w:hAnsi="宋体" w:eastAsia="宋体" w:cs="宋体"/>
                <w:color w:val="auto"/>
                <w:sz w:val="24"/>
                <w:szCs w:val="24"/>
                <w:highlight w:val="none"/>
                <w:lang w:val="en-US" w:eastAsia="zh-CN"/>
              </w:rPr>
            </w:pPr>
          </w:p>
        </w:tc>
        <w:tc>
          <w:tcPr>
            <w:tcW w:w="567" w:type="dxa"/>
            <w:vMerge w:val="continue"/>
            <w:tcBorders>
              <w:bottom w:val="single" w:color="auto" w:sz="4" w:space="0"/>
            </w:tcBorders>
            <w:noWrap w:val="0"/>
            <w:vAlign w:val="center"/>
          </w:tcPr>
          <w:p>
            <w:pPr>
              <w:pStyle w:val="6"/>
              <w:spacing w:line="160" w:lineRule="atLeast"/>
              <w:jc w:val="center"/>
              <w:rPr>
                <w:rFonts w:hint="eastAsia" w:ascii="宋体" w:hAnsi="宋体" w:eastAsia="宋体" w:cs="宋体"/>
                <w:color w:val="auto"/>
                <w:sz w:val="24"/>
                <w:szCs w:val="24"/>
                <w:highlight w:val="none"/>
                <w:lang w:val="en-US" w:eastAsia="zh-CN"/>
              </w:rPr>
            </w:pPr>
          </w:p>
        </w:tc>
        <w:tc>
          <w:tcPr>
            <w:tcW w:w="5845" w:type="dxa"/>
            <w:tcBorders>
              <w:bottom w:val="single" w:color="auto" w:sz="4" w:space="0"/>
            </w:tcBorders>
            <w:noWrap w:val="0"/>
            <w:vAlign w:val="top"/>
          </w:tcPr>
          <w:p>
            <w:pPr>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lang w:eastAsia="zh-CN"/>
              </w:rPr>
              <w:t>承诺及响应</w:t>
            </w:r>
            <w:r>
              <w:rPr>
                <w:rFonts w:hint="eastAsia" w:ascii="宋体" w:hAnsi="宋体" w:eastAsia="宋体" w:cs="宋体"/>
                <w:color w:val="auto"/>
                <w:sz w:val="24"/>
                <w:szCs w:val="24"/>
                <w:highlight w:val="none"/>
              </w:rPr>
              <w:t>一般</w:t>
            </w:r>
            <w:r>
              <w:rPr>
                <w:rFonts w:hint="eastAsia" w:ascii="宋体" w:hAnsi="宋体" w:eastAsia="宋体" w:cs="宋体"/>
                <w:color w:val="auto"/>
                <w:sz w:val="24"/>
                <w:szCs w:val="24"/>
                <w:highlight w:val="none"/>
                <w:lang w:eastAsia="zh-CN"/>
              </w:rPr>
              <w:t>，满足项目要求</w:t>
            </w:r>
            <w:r>
              <w:rPr>
                <w:rFonts w:hint="eastAsia" w:ascii="宋体" w:hAnsi="宋体" w:eastAsia="宋体" w:cs="宋体"/>
                <w:color w:val="auto"/>
                <w:sz w:val="24"/>
                <w:szCs w:val="24"/>
                <w:highlight w:val="none"/>
              </w:rPr>
              <w:t>得3.0分。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9" w:hRule="atLeast"/>
          <w:jc w:val="center"/>
        </w:trPr>
        <w:tc>
          <w:tcPr>
            <w:tcW w:w="741" w:type="dxa"/>
            <w:vMerge w:val="restart"/>
            <w:tcBorders>
              <w:top w:val="nil"/>
            </w:tcBorders>
            <w:noWrap w:val="0"/>
            <w:vAlign w:val="center"/>
          </w:tcPr>
          <w:p>
            <w:pPr>
              <w:pStyle w:val="6"/>
              <w:spacing w:line="160" w:lineRule="atLeas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2.2.4（2）</w:t>
            </w:r>
          </w:p>
        </w:tc>
        <w:tc>
          <w:tcPr>
            <w:tcW w:w="741" w:type="dxa"/>
            <w:tcBorders>
              <w:top w:val="nil"/>
            </w:tcBorders>
            <w:noWrap w:val="0"/>
            <w:vAlign w:val="center"/>
          </w:tcPr>
          <w:p>
            <w:pPr>
              <w:pStyle w:val="6"/>
              <w:spacing w:line="160" w:lineRule="atLeas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主要人员</w:t>
            </w:r>
          </w:p>
        </w:tc>
        <w:tc>
          <w:tcPr>
            <w:tcW w:w="624" w:type="dxa"/>
            <w:tcBorders>
              <w:top w:val="nil"/>
            </w:tcBorders>
            <w:noWrap w:val="0"/>
            <w:vAlign w:val="center"/>
          </w:tcPr>
          <w:p>
            <w:pPr>
              <w:pStyle w:val="6"/>
              <w:spacing w:line="160" w:lineRule="atLeas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5分</w:t>
            </w:r>
          </w:p>
        </w:tc>
        <w:tc>
          <w:tcPr>
            <w:tcW w:w="1134" w:type="dxa"/>
            <w:tcBorders>
              <w:bottom w:val="single" w:color="auto" w:sz="4" w:space="0"/>
            </w:tcBorders>
            <w:noWrap w:val="0"/>
            <w:vAlign w:val="center"/>
          </w:tcPr>
          <w:p>
            <w:pPr>
              <w:jc w:val="center"/>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主要人员</w:t>
            </w:r>
            <w:r>
              <w:rPr>
                <w:rFonts w:hint="eastAsia" w:ascii="宋体" w:hAnsi="宋体" w:eastAsia="宋体" w:cs="宋体"/>
                <w:color w:val="auto"/>
                <w:kern w:val="2"/>
                <w:sz w:val="24"/>
                <w:szCs w:val="24"/>
                <w:highlight w:val="none"/>
                <w:lang w:val="en-US" w:eastAsia="zh-CN"/>
              </w:rPr>
              <w:t>业绩</w:t>
            </w:r>
          </w:p>
        </w:tc>
        <w:tc>
          <w:tcPr>
            <w:tcW w:w="567" w:type="dxa"/>
            <w:tcBorders>
              <w:bottom w:val="single" w:color="auto" w:sz="4" w:space="0"/>
            </w:tcBorders>
            <w:noWrap w:val="0"/>
            <w:vAlign w:val="center"/>
          </w:tcPr>
          <w:p>
            <w:pPr>
              <w:pStyle w:val="6"/>
              <w:spacing w:line="160" w:lineRule="atLeas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5分</w:t>
            </w:r>
          </w:p>
        </w:tc>
        <w:tc>
          <w:tcPr>
            <w:tcW w:w="5845" w:type="dxa"/>
            <w:tcBorders>
              <w:bottom w:val="single" w:color="auto" w:sz="4" w:space="0"/>
            </w:tcBorders>
            <w:noWrap w:val="0"/>
            <w:vAlign w:val="center"/>
          </w:tcPr>
          <w:p>
            <w:pPr>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满足资格审查条件（主要人员最低要求）得</w:t>
            </w:r>
            <w:r>
              <w:rPr>
                <w:rFonts w:hint="eastAsia" w:ascii="宋体" w:hAnsi="宋体" w:eastAsia="宋体" w:cs="宋体"/>
                <w:color w:val="auto"/>
                <w:kern w:val="2"/>
                <w:sz w:val="24"/>
                <w:szCs w:val="24"/>
                <w:highlight w:val="none"/>
                <w:lang w:val="en-US" w:eastAsia="zh-CN"/>
              </w:rPr>
              <w:t>3</w:t>
            </w:r>
            <w:r>
              <w:rPr>
                <w:rFonts w:hint="eastAsia" w:ascii="宋体" w:hAnsi="宋体" w:eastAsia="宋体" w:cs="宋体"/>
                <w:color w:val="auto"/>
                <w:kern w:val="2"/>
                <w:sz w:val="24"/>
                <w:szCs w:val="24"/>
                <w:highlight w:val="none"/>
              </w:rPr>
              <w:t>分；</w:t>
            </w:r>
          </w:p>
          <w:p>
            <w:pPr>
              <w:pStyle w:val="5"/>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rPr>
              <w:t>每增加一个满足资格审查条件（主要人员最低要求）中的项目负责人（主审）或</w:t>
            </w:r>
            <w:r>
              <w:rPr>
                <w:rFonts w:hint="eastAsia" w:ascii="宋体" w:hAnsi="宋体" w:eastAsia="宋体" w:cs="宋体"/>
                <w:color w:val="auto"/>
                <w:kern w:val="2"/>
                <w:sz w:val="24"/>
                <w:szCs w:val="24"/>
                <w:highlight w:val="none"/>
                <w:lang w:eastAsia="zh-CN"/>
              </w:rPr>
              <w:t>财务审计主管</w:t>
            </w:r>
            <w:r>
              <w:rPr>
                <w:rFonts w:hint="eastAsia" w:ascii="宋体" w:hAnsi="宋体" w:eastAsia="宋体" w:cs="宋体"/>
                <w:color w:val="auto"/>
                <w:kern w:val="2"/>
                <w:sz w:val="24"/>
                <w:szCs w:val="24"/>
                <w:highlight w:val="none"/>
              </w:rPr>
              <w:t>或造价审核主</w:t>
            </w:r>
            <w:r>
              <w:rPr>
                <w:rFonts w:hint="eastAsia" w:ascii="宋体" w:hAnsi="宋体" w:eastAsia="宋体" w:cs="宋体"/>
                <w:color w:val="auto"/>
                <w:kern w:val="2"/>
                <w:sz w:val="24"/>
                <w:szCs w:val="24"/>
                <w:highlight w:val="none"/>
                <w:lang w:eastAsia="zh-CN"/>
              </w:rPr>
              <w:t>管</w:t>
            </w:r>
            <w:r>
              <w:rPr>
                <w:rFonts w:hint="eastAsia" w:ascii="宋体" w:hAnsi="宋体" w:eastAsia="宋体" w:cs="宋体"/>
                <w:color w:val="auto"/>
                <w:kern w:val="2"/>
                <w:sz w:val="24"/>
                <w:szCs w:val="24"/>
                <w:highlight w:val="none"/>
              </w:rPr>
              <w:t>人员业绩，加</w:t>
            </w:r>
            <w:r>
              <w:rPr>
                <w:rFonts w:hint="eastAsia" w:ascii="宋体" w:hAnsi="宋体" w:eastAsia="宋体" w:cs="宋体"/>
                <w:color w:val="auto"/>
                <w:kern w:val="2"/>
                <w:sz w:val="24"/>
                <w:szCs w:val="24"/>
                <w:highlight w:val="none"/>
                <w:lang w:val="en-US" w:eastAsia="zh-CN"/>
              </w:rPr>
              <w:t>1</w:t>
            </w:r>
            <w:r>
              <w:rPr>
                <w:rFonts w:hint="eastAsia" w:ascii="宋体" w:hAnsi="宋体" w:eastAsia="宋体" w:cs="宋体"/>
                <w:color w:val="auto"/>
                <w:kern w:val="2"/>
                <w:sz w:val="24"/>
                <w:szCs w:val="24"/>
                <w:highlight w:val="none"/>
              </w:rPr>
              <w:t>分，最多加</w:t>
            </w:r>
            <w:r>
              <w:rPr>
                <w:rFonts w:hint="eastAsia" w:ascii="宋体" w:hAnsi="宋体" w:eastAsia="宋体" w:cs="宋体"/>
                <w:color w:val="auto"/>
                <w:kern w:val="2"/>
                <w:sz w:val="24"/>
                <w:szCs w:val="24"/>
                <w:highlight w:val="none"/>
                <w:lang w:val="en-US" w:eastAsia="zh-CN"/>
              </w:rPr>
              <w:t>2</w:t>
            </w:r>
            <w:r>
              <w:rPr>
                <w:rFonts w:hint="eastAsia" w:ascii="宋体" w:hAnsi="宋体" w:eastAsia="宋体" w:cs="宋体"/>
                <w:color w:val="auto"/>
                <w:kern w:val="2"/>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9" w:hRule="atLeast"/>
          <w:jc w:val="center"/>
        </w:trPr>
        <w:tc>
          <w:tcPr>
            <w:tcW w:w="741" w:type="dxa"/>
            <w:vMerge w:val="continue"/>
            <w:noWrap w:val="0"/>
            <w:vAlign w:val="center"/>
          </w:tcPr>
          <w:p>
            <w:pPr>
              <w:pStyle w:val="6"/>
              <w:spacing w:line="160" w:lineRule="atLeast"/>
              <w:jc w:val="center"/>
              <w:rPr>
                <w:rFonts w:hint="eastAsia" w:ascii="宋体" w:hAnsi="宋体" w:eastAsia="宋体" w:cs="宋体"/>
                <w:color w:val="auto"/>
                <w:sz w:val="24"/>
                <w:szCs w:val="24"/>
                <w:highlight w:val="none"/>
                <w:lang w:val="en-US" w:eastAsia="zh-CN"/>
              </w:rPr>
            </w:pPr>
          </w:p>
        </w:tc>
        <w:tc>
          <w:tcPr>
            <w:tcW w:w="741" w:type="dxa"/>
            <w:tcBorders>
              <w:top w:val="nil"/>
            </w:tcBorders>
            <w:noWrap w:val="0"/>
            <w:vAlign w:val="center"/>
          </w:tcPr>
          <w:p>
            <w:pPr>
              <w:pStyle w:val="6"/>
              <w:spacing w:line="160" w:lineRule="atLeas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其他人员</w:t>
            </w:r>
          </w:p>
        </w:tc>
        <w:tc>
          <w:tcPr>
            <w:tcW w:w="624" w:type="dxa"/>
            <w:tcBorders>
              <w:top w:val="nil"/>
            </w:tcBorders>
            <w:noWrap w:val="0"/>
            <w:vAlign w:val="center"/>
          </w:tcPr>
          <w:p>
            <w:pPr>
              <w:pStyle w:val="6"/>
              <w:spacing w:line="160" w:lineRule="atLeas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10分</w:t>
            </w:r>
          </w:p>
        </w:tc>
        <w:tc>
          <w:tcPr>
            <w:tcW w:w="1134" w:type="dxa"/>
            <w:tcBorders>
              <w:bottom w:val="single" w:color="auto" w:sz="4" w:space="0"/>
            </w:tcBorders>
            <w:noWrap w:val="0"/>
            <w:vAlign w:val="center"/>
          </w:tcPr>
          <w:p>
            <w:pPr>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其他</w:t>
            </w:r>
          </w:p>
          <w:p>
            <w:pPr>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人员</w:t>
            </w:r>
          </w:p>
        </w:tc>
        <w:tc>
          <w:tcPr>
            <w:tcW w:w="567" w:type="dxa"/>
            <w:tcBorders>
              <w:bottom w:val="single" w:color="auto" w:sz="4" w:space="0"/>
            </w:tcBorders>
            <w:noWrap w:val="0"/>
            <w:vAlign w:val="center"/>
          </w:tcPr>
          <w:p>
            <w:pPr>
              <w:pStyle w:val="6"/>
              <w:spacing w:line="160" w:lineRule="atLeas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10分</w:t>
            </w:r>
          </w:p>
        </w:tc>
        <w:tc>
          <w:tcPr>
            <w:tcW w:w="5845" w:type="dxa"/>
            <w:tcBorders>
              <w:bottom w:val="single" w:color="auto" w:sz="4" w:space="0"/>
            </w:tcBorders>
            <w:noWrap w:val="0"/>
            <w:vAlign w:val="center"/>
          </w:tcPr>
          <w:p>
            <w:pPr>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满足资格审查条件（</w:t>
            </w:r>
            <w:r>
              <w:rPr>
                <w:rFonts w:hint="eastAsia" w:ascii="宋体" w:hAnsi="宋体" w:eastAsia="宋体" w:cs="宋体"/>
                <w:color w:val="auto"/>
                <w:kern w:val="2"/>
                <w:sz w:val="24"/>
                <w:szCs w:val="24"/>
                <w:highlight w:val="none"/>
                <w:lang w:val="en-US" w:eastAsia="zh-CN"/>
              </w:rPr>
              <w:t>其他</w:t>
            </w:r>
            <w:r>
              <w:rPr>
                <w:rFonts w:hint="eastAsia" w:ascii="宋体" w:hAnsi="宋体" w:eastAsia="宋体" w:cs="宋体"/>
                <w:color w:val="auto"/>
                <w:kern w:val="2"/>
                <w:sz w:val="24"/>
                <w:szCs w:val="24"/>
                <w:highlight w:val="none"/>
              </w:rPr>
              <w:t>人员最低要求）得</w:t>
            </w:r>
            <w:r>
              <w:rPr>
                <w:rFonts w:hint="eastAsia" w:ascii="宋体" w:hAnsi="宋体" w:eastAsia="宋体" w:cs="宋体"/>
                <w:color w:val="auto"/>
                <w:kern w:val="2"/>
                <w:sz w:val="24"/>
                <w:szCs w:val="24"/>
                <w:highlight w:val="none"/>
                <w:lang w:val="en-US" w:eastAsia="zh-CN"/>
              </w:rPr>
              <w:t>6</w:t>
            </w:r>
            <w:r>
              <w:rPr>
                <w:rFonts w:hint="eastAsia" w:ascii="宋体" w:hAnsi="宋体" w:eastAsia="宋体" w:cs="宋体"/>
                <w:color w:val="auto"/>
                <w:kern w:val="2"/>
                <w:sz w:val="24"/>
                <w:szCs w:val="24"/>
                <w:highlight w:val="none"/>
              </w:rPr>
              <w:t>分；</w:t>
            </w:r>
          </w:p>
          <w:p>
            <w:pPr>
              <w:pStyle w:val="5"/>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在</w:t>
            </w:r>
            <w:r>
              <w:rPr>
                <w:rFonts w:hint="eastAsia" w:ascii="宋体" w:hAnsi="宋体" w:eastAsia="宋体" w:cs="宋体"/>
                <w:color w:val="auto"/>
                <w:kern w:val="2"/>
                <w:sz w:val="24"/>
                <w:szCs w:val="24"/>
                <w:highlight w:val="none"/>
              </w:rPr>
              <w:t>满足资格审查条件（</w:t>
            </w:r>
            <w:r>
              <w:rPr>
                <w:rFonts w:hint="eastAsia" w:ascii="宋体" w:hAnsi="宋体" w:eastAsia="宋体" w:cs="宋体"/>
                <w:color w:val="auto"/>
                <w:kern w:val="2"/>
                <w:sz w:val="24"/>
                <w:szCs w:val="24"/>
                <w:highlight w:val="none"/>
                <w:lang w:val="en-US" w:eastAsia="zh-CN"/>
              </w:rPr>
              <w:t>其他</w:t>
            </w:r>
            <w:r>
              <w:rPr>
                <w:rFonts w:hint="eastAsia" w:ascii="宋体" w:hAnsi="宋体" w:eastAsia="宋体" w:cs="宋体"/>
                <w:color w:val="auto"/>
                <w:kern w:val="2"/>
                <w:sz w:val="24"/>
                <w:szCs w:val="24"/>
                <w:highlight w:val="none"/>
              </w:rPr>
              <w:t>人员最低要求）</w:t>
            </w:r>
            <w:r>
              <w:rPr>
                <w:rFonts w:hint="eastAsia" w:ascii="宋体" w:hAnsi="宋体" w:eastAsia="宋体" w:cs="宋体"/>
                <w:color w:val="auto"/>
                <w:kern w:val="2"/>
                <w:sz w:val="24"/>
                <w:szCs w:val="24"/>
                <w:highlight w:val="none"/>
                <w:lang w:val="en-US" w:eastAsia="zh-CN"/>
              </w:rPr>
              <w:t>中的人员每增加一个注册会计师加2分，每增加一个注册造价工程师加2分，本项最多加4分（</w:t>
            </w:r>
            <w:r>
              <w:rPr>
                <w:rFonts w:hint="eastAsia" w:ascii="宋体" w:hAnsi="宋体" w:eastAsia="宋体" w:cs="宋体"/>
                <w:color w:val="auto"/>
                <w:sz w:val="24"/>
                <w:szCs w:val="24"/>
                <w:highlight w:val="none"/>
              </w:rPr>
              <w:t>注册单位须与投标人名称一致</w:t>
            </w:r>
            <w:r>
              <w:rPr>
                <w:rFonts w:hint="eastAsia" w:ascii="宋体" w:hAnsi="宋体" w:eastAsia="宋体" w:cs="宋体"/>
                <w:color w:val="auto"/>
                <w:kern w:val="2"/>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8" w:hRule="atLeast"/>
          <w:jc w:val="center"/>
        </w:trPr>
        <w:tc>
          <w:tcPr>
            <w:tcW w:w="741" w:type="dxa"/>
            <w:tcBorders>
              <w:top w:val="nil"/>
            </w:tcBorders>
            <w:noWrap w:val="0"/>
            <w:vAlign w:val="center"/>
          </w:tcPr>
          <w:p>
            <w:pPr>
              <w:pStyle w:val="6"/>
              <w:spacing w:line="160" w:lineRule="atLeas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2.2.4（3）</w:t>
            </w:r>
          </w:p>
        </w:tc>
        <w:tc>
          <w:tcPr>
            <w:tcW w:w="741" w:type="dxa"/>
            <w:tcBorders>
              <w:top w:val="nil"/>
            </w:tcBorders>
            <w:noWrap w:val="0"/>
            <w:vAlign w:val="center"/>
          </w:tcPr>
          <w:p>
            <w:pPr>
              <w:pStyle w:val="6"/>
              <w:spacing w:line="160" w:lineRule="atLeas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评标价</w:t>
            </w:r>
          </w:p>
        </w:tc>
        <w:tc>
          <w:tcPr>
            <w:tcW w:w="624" w:type="dxa"/>
            <w:tcBorders>
              <w:top w:val="nil"/>
              <w:bottom w:val="single" w:color="auto" w:sz="4" w:space="0"/>
            </w:tcBorders>
            <w:noWrap w:val="0"/>
            <w:vAlign w:val="center"/>
          </w:tcPr>
          <w:p>
            <w:pPr>
              <w:pStyle w:val="6"/>
              <w:spacing w:line="160" w:lineRule="atLeas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30分</w:t>
            </w:r>
          </w:p>
        </w:tc>
        <w:tc>
          <w:tcPr>
            <w:tcW w:w="7546" w:type="dxa"/>
            <w:gridSpan w:val="3"/>
            <w:tcBorders>
              <w:bottom w:val="single" w:color="auto" w:sz="4" w:space="0"/>
            </w:tcBorders>
            <w:noWrap w:val="0"/>
            <w:vAlign w:val="center"/>
          </w:tcPr>
          <w:p>
            <w:pP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评标价得分计算公式示例：</w:t>
            </w:r>
          </w:p>
          <w:p>
            <w:pP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（1）如果投标人的评标价＞评标基准价，则评标价得分=F-（投标人评标价-评标基准价）/评标基准价×100×E1；</w:t>
            </w:r>
          </w:p>
          <w:p>
            <w:pP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（2）如果投标人的评标价≤评标基准价，则评标价得分=F+（投标人评标价-评标基准价）/评标基准价×100×E2。</w:t>
            </w:r>
          </w:p>
          <w:p>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其中，F=</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；E1=0.</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；E2=0.</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；评标价最低得分为0分。</w:t>
            </w:r>
          </w:p>
          <w:p>
            <w:pPr>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评标价得分保留两位小数，第三位四舍五入。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1" w:hRule="atLeast"/>
          <w:jc w:val="center"/>
        </w:trPr>
        <w:tc>
          <w:tcPr>
            <w:tcW w:w="741" w:type="dxa"/>
            <w:noWrap w:val="0"/>
            <w:vAlign w:val="center"/>
          </w:tcPr>
          <w:p>
            <w:pPr>
              <w:pStyle w:val="6"/>
              <w:spacing w:line="160" w:lineRule="atLeas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2.2.4（4）</w:t>
            </w:r>
          </w:p>
        </w:tc>
        <w:tc>
          <w:tcPr>
            <w:tcW w:w="741" w:type="dxa"/>
            <w:noWrap w:val="0"/>
            <w:vAlign w:val="center"/>
          </w:tcPr>
          <w:p>
            <w:pPr>
              <w:pStyle w:val="6"/>
              <w:spacing w:line="160" w:lineRule="atLeas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其他因素</w:t>
            </w:r>
          </w:p>
        </w:tc>
        <w:tc>
          <w:tcPr>
            <w:tcW w:w="624" w:type="dxa"/>
            <w:tcBorders>
              <w:top w:val="single" w:color="auto" w:sz="4" w:space="0"/>
            </w:tcBorders>
            <w:noWrap w:val="0"/>
            <w:vAlign w:val="center"/>
          </w:tcPr>
          <w:p>
            <w:pPr>
              <w:pStyle w:val="6"/>
              <w:spacing w:line="160" w:lineRule="atLeas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20分</w:t>
            </w:r>
          </w:p>
        </w:tc>
        <w:tc>
          <w:tcPr>
            <w:tcW w:w="1134" w:type="dxa"/>
            <w:tcBorders>
              <w:top w:val="single" w:color="auto" w:sz="4" w:space="0"/>
            </w:tcBorders>
            <w:noWrap w:val="0"/>
            <w:vAlign w:val="center"/>
          </w:tcPr>
          <w:p>
            <w:pPr>
              <w:pStyle w:val="6"/>
              <w:spacing w:line="160" w:lineRule="atLeas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业绩</w:t>
            </w:r>
          </w:p>
        </w:tc>
        <w:tc>
          <w:tcPr>
            <w:tcW w:w="567" w:type="dxa"/>
            <w:tcBorders>
              <w:top w:val="single" w:color="auto" w:sz="4" w:space="0"/>
            </w:tcBorders>
            <w:noWrap w:val="0"/>
            <w:vAlign w:val="center"/>
          </w:tcPr>
          <w:p>
            <w:pPr>
              <w:pStyle w:val="6"/>
              <w:spacing w:line="160" w:lineRule="atLeas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20分</w:t>
            </w:r>
          </w:p>
        </w:tc>
        <w:tc>
          <w:tcPr>
            <w:tcW w:w="5845" w:type="dxa"/>
            <w:tcBorders>
              <w:top w:val="single" w:color="auto" w:sz="4" w:space="0"/>
            </w:tcBorders>
            <w:noWrap w:val="0"/>
            <w:vAlign w:val="center"/>
          </w:tcPr>
          <w:p>
            <w:pP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满足资格审查条件（业绩最低要求）得</w:t>
            </w:r>
            <w:r>
              <w:rPr>
                <w:rFonts w:hint="eastAsia" w:ascii="宋体" w:hAnsi="宋体" w:eastAsia="宋体" w:cs="宋体"/>
                <w:color w:val="auto"/>
                <w:kern w:val="2"/>
                <w:sz w:val="24"/>
                <w:szCs w:val="24"/>
                <w:highlight w:val="none"/>
                <w:lang w:val="en-US" w:eastAsia="zh-CN"/>
              </w:rPr>
              <w:t>12</w:t>
            </w:r>
            <w:r>
              <w:rPr>
                <w:rFonts w:hint="eastAsia" w:ascii="宋体" w:hAnsi="宋体" w:eastAsia="宋体" w:cs="宋体"/>
                <w:color w:val="auto"/>
                <w:kern w:val="2"/>
                <w:sz w:val="24"/>
                <w:szCs w:val="24"/>
                <w:highlight w:val="none"/>
              </w:rPr>
              <w:t>分；</w:t>
            </w:r>
          </w:p>
          <w:p>
            <w:pPr>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rPr>
              <w:t>每增加一个满足资格审查条件（业绩最低要求）的业绩，加</w:t>
            </w:r>
            <w:r>
              <w:rPr>
                <w:rFonts w:hint="eastAsia" w:ascii="宋体" w:hAnsi="宋体" w:eastAsia="宋体" w:cs="宋体"/>
                <w:color w:val="auto"/>
                <w:kern w:val="2"/>
                <w:sz w:val="24"/>
                <w:szCs w:val="24"/>
                <w:highlight w:val="none"/>
                <w:lang w:val="en-US" w:eastAsia="zh-CN"/>
              </w:rPr>
              <w:t>4</w:t>
            </w:r>
            <w:r>
              <w:rPr>
                <w:rFonts w:hint="eastAsia" w:ascii="宋体" w:hAnsi="宋体" w:eastAsia="宋体" w:cs="宋体"/>
                <w:color w:val="auto"/>
                <w:kern w:val="2"/>
                <w:sz w:val="24"/>
                <w:szCs w:val="24"/>
                <w:highlight w:val="none"/>
              </w:rPr>
              <w:t>分，最多加</w:t>
            </w:r>
            <w:r>
              <w:rPr>
                <w:rFonts w:hint="eastAsia" w:ascii="宋体" w:hAnsi="宋体" w:eastAsia="宋体" w:cs="宋体"/>
                <w:color w:val="auto"/>
                <w:kern w:val="2"/>
                <w:sz w:val="24"/>
                <w:szCs w:val="24"/>
                <w:highlight w:val="none"/>
                <w:lang w:val="en-US" w:eastAsia="zh-CN"/>
              </w:rPr>
              <w:t>8</w:t>
            </w:r>
            <w:r>
              <w:rPr>
                <w:rFonts w:hint="eastAsia" w:ascii="宋体" w:hAnsi="宋体" w:eastAsia="宋体" w:cs="宋体"/>
                <w:color w:val="auto"/>
                <w:kern w:val="2"/>
                <w:sz w:val="24"/>
                <w:szCs w:val="24"/>
                <w:highlight w:val="none"/>
              </w:rPr>
              <w:t>分。</w:t>
            </w:r>
          </w:p>
        </w:tc>
      </w:tr>
    </w:tbl>
    <w:p>
      <w:pPr>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注：</w:t>
      </w:r>
    </w:p>
    <w:p>
      <w:pPr>
        <w:spacing w:line="240" w:lineRule="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1</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lang w:val="zh-CN"/>
        </w:rPr>
        <w:t>第2.2.4（1）项各评委打分保留1位小数，投标人该项得分以各评委打分平均值计算所得，保留两位小数，第三位小数四舍五入；</w:t>
      </w:r>
    </w:p>
    <w:p>
      <w:pPr>
        <w:pStyle w:val="17"/>
        <w:spacing w:line="240" w:lineRule="auto"/>
        <w:jc w:val="both"/>
        <w:rPr>
          <w:rFonts w:hint="eastAsia" w:ascii="宋体" w:hAnsi="宋体" w:eastAsia="宋体" w:cs="宋体"/>
          <w:b w:val="0"/>
          <w:color w:val="auto"/>
          <w:kern w:val="0"/>
          <w:sz w:val="24"/>
          <w:szCs w:val="24"/>
          <w:highlight w:val="none"/>
          <w:lang w:val="zh-CN" w:eastAsia="zh-CN" w:bidi="ar-SA"/>
        </w:rPr>
      </w:pPr>
      <w:r>
        <w:rPr>
          <w:rFonts w:hint="eastAsia" w:ascii="宋体" w:hAnsi="宋体" w:eastAsia="宋体" w:cs="宋体"/>
          <w:b w:val="0"/>
          <w:color w:val="auto"/>
          <w:kern w:val="0"/>
          <w:sz w:val="24"/>
          <w:szCs w:val="24"/>
          <w:highlight w:val="none"/>
          <w:lang w:val="zh-CN" w:eastAsia="zh-CN" w:bidi="ar-SA"/>
        </w:rPr>
        <w:t>2</w:t>
      </w:r>
      <w:r>
        <w:rPr>
          <w:rFonts w:hint="eastAsia" w:ascii="宋体" w:hAnsi="宋体" w:eastAsia="宋体" w:cs="宋体"/>
          <w:b w:val="0"/>
          <w:color w:val="auto"/>
          <w:kern w:val="0"/>
          <w:sz w:val="24"/>
          <w:szCs w:val="24"/>
          <w:highlight w:val="none"/>
          <w:lang w:val="en-US" w:eastAsia="zh-CN" w:bidi="ar-SA"/>
        </w:rPr>
        <w:t>.</w:t>
      </w:r>
      <w:r>
        <w:rPr>
          <w:rFonts w:hint="eastAsia" w:ascii="宋体" w:hAnsi="宋体" w:eastAsia="宋体" w:cs="宋体"/>
          <w:b w:val="0"/>
          <w:color w:val="auto"/>
          <w:kern w:val="0"/>
          <w:sz w:val="24"/>
          <w:szCs w:val="24"/>
          <w:highlight w:val="none"/>
          <w:lang w:val="zh-CN" w:eastAsia="zh-CN" w:bidi="ar-SA"/>
        </w:rPr>
        <w:t>第2.2.4（1）项评标委员会成员对某一项评分因素的评分低于权重分值 60%的，应在评标报告中作出说明。评审因素缺项则该项得0分。</w:t>
      </w:r>
      <w:bookmarkEnd w:id="22"/>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标宋体">
    <w:altName w:val="宋体"/>
    <w:panose1 w:val="00000000000000000000"/>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yZDYxNTJjZmI2NmVkYTMyOWVjMGFiZjEzZGM5NjgifQ=="/>
    <w:docVar w:name="KSO_WPS_MARK_KEY" w:val="e3c49f5a-5132-4c7f-9f17-55b3fb234464"/>
  </w:docVars>
  <w:rsids>
    <w:rsidRoot w:val="00000000"/>
    <w:rsid w:val="579D375F"/>
    <w:rsid w:val="5D5514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8"/>
      <w:sz w:val="28"/>
      <w:lang w:val="en-US" w:eastAsia="zh-CN" w:bidi="ar-SA"/>
    </w:rPr>
  </w:style>
  <w:style w:type="paragraph" w:styleId="3">
    <w:name w:val="heading 1"/>
    <w:basedOn w:val="1"/>
    <w:next w:val="1"/>
    <w:qFormat/>
    <w:uiPriority w:val="0"/>
    <w:pPr>
      <w:keepNext/>
      <w:spacing w:line="300" w:lineRule="auto"/>
      <w:jc w:val="center"/>
      <w:outlineLvl w:val="0"/>
    </w:pPr>
    <w:rPr>
      <w:rFonts w:ascii="标宋体"/>
      <w:kern w:val="2"/>
      <w:szCs w:val="24"/>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0"/>
    <w:rPr>
      <w:kern w:val="2"/>
      <w:szCs w:val="24"/>
    </w:rPr>
  </w:style>
  <w:style w:type="paragraph" w:styleId="6">
    <w:name w:val="Plain Text"/>
    <w:basedOn w:val="1"/>
    <w:qFormat/>
    <w:uiPriority w:val="0"/>
    <w:rPr>
      <w:rFonts w:ascii="宋体" w:hAnsi="Courier New"/>
      <w:kern w:val="2"/>
      <w:sz w:val="21"/>
    </w:rPr>
  </w:style>
  <w:style w:type="paragraph" w:styleId="7">
    <w:name w:val="Body Text 2"/>
    <w:basedOn w:val="1"/>
    <w:qFormat/>
    <w:uiPriority w:val="99"/>
    <w:rPr>
      <w:rFonts w:ascii="宋体" w:hAnsi="宋体"/>
    </w:rPr>
  </w:style>
  <w:style w:type="paragraph" w:styleId="8">
    <w:name w:val="Normal (Web)"/>
    <w:basedOn w:val="1"/>
    <w:qFormat/>
    <w:uiPriority w:val="0"/>
    <w:pPr>
      <w:widowControl/>
      <w:spacing w:before="100" w:beforeAutospacing="1" w:after="100" w:afterAutospacing="1" w:line="432" w:lineRule="auto"/>
      <w:ind w:firstLine="480"/>
      <w:jc w:val="left"/>
    </w:pPr>
    <w:rPr>
      <w:rFonts w:ascii="宋体" w:hAnsi="宋体"/>
      <w:kern w:val="0"/>
      <w:sz w:val="24"/>
      <w:szCs w:val="24"/>
    </w:rPr>
  </w:style>
  <w:style w:type="paragraph" w:customStyle="1" w:styleId="11">
    <w:name w:val="样式22"/>
    <w:basedOn w:val="12"/>
    <w:qFormat/>
    <w:uiPriority w:val="0"/>
    <w:pPr>
      <w:ind w:left="0" w:firstLine="200" w:firstLineChars="200"/>
    </w:pPr>
  </w:style>
  <w:style w:type="paragraph" w:customStyle="1" w:styleId="12">
    <w:name w:val="样式21"/>
    <w:basedOn w:val="4"/>
    <w:qFormat/>
    <w:uiPriority w:val="0"/>
    <w:pPr>
      <w:spacing w:before="0" w:after="0" w:line="360" w:lineRule="auto"/>
      <w:ind w:left="200" w:hanging="200" w:hangingChars="200"/>
    </w:pPr>
    <w:rPr>
      <w:sz w:val="24"/>
    </w:rPr>
  </w:style>
  <w:style w:type="paragraph" w:customStyle="1" w:styleId="13">
    <w:name w:val="样式 首行缩进:  1 厘米 行距: 固定值 25 磅"/>
    <w:basedOn w:val="1"/>
    <w:qFormat/>
    <w:uiPriority w:val="0"/>
    <w:pPr>
      <w:adjustRightInd w:val="0"/>
      <w:spacing w:line="440" w:lineRule="exact"/>
      <w:ind w:firstLine="480" w:firstLineChars="200"/>
      <w:textAlignment w:val="baseline"/>
    </w:pPr>
    <w:rPr>
      <w:rFonts w:ascii="宋体" w:hAnsi="宋体" w:cs="Arial"/>
      <w:kern w:val="2"/>
      <w:sz w:val="24"/>
      <w:szCs w:val="28"/>
    </w:rPr>
  </w:style>
  <w:style w:type="paragraph" w:customStyle="1" w:styleId="14">
    <w:name w:val="样式30"/>
    <w:basedOn w:val="4"/>
    <w:qFormat/>
    <w:uiPriority w:val="0"/>
    <w:pPr>
      <w:spacing w:before="0" w:after="0" w:line="360" w:lineRule="auto"/>
      <w:ind w:firstLine="200" w:firstLineChars="200"/>
    </w:pPr>
    <w:rPr>
      <w:sz w:val="24"/>
    </w:rPr>
  </w:style>
  <w:style w:type="paragraph" w:customStyle="1" w:styleId="15">
    <w:name w:val="样式54"/>
    <w:basedOn w:val="2"/>
    <w:qFormat/>
    <w:uiPriority w:val="0"/>
    <w:pPr>
      <w:spacing w:before="0" w:after="0" w:line="360" w:lineRule="auto"/>
      <w:jc w:val="center"/>
    </w:pPr>
  </w:style>
  <w:style w:type="character" w:customStyle="1" w:styleId="16">
    <w:name w:val="正文文本 (2) + 10.5 pt"/>
    <w:qFormat/>
    <w:uiPriority w:val="0"/>
    <w:rPr>
      <w:rFonts w:ascii="宋体" w:hAnsi="宋体" w:eastAsia="宋体" w:cs="宋体"/>
      <w:color w:val="000000"/>
      <w:spacing w:val="0"/>
      <w:w w:val="100"/>
      <w:position w:val="0"/>
      <w:sz w:val="21"/>
      <w:szCs w:val="21"/>
      <w:u w:val="none"/>
      <w:shd w:val="clear" w:color="auto" w:fill="FFFFFF"/>
      <w:lang w:val="zh-CN" w:eastAsia="zh-CN" w:bidi="zh-CN"/>
    </w:rPr>
  </w:style>
  <w:style w:type="paragraph" w:customStyle="1" w:styleId="17">
    <w:name w:val="样式53"/>
    <w:basedOn w:val="3"/>
    <w:qFormat/>
    <w:uiPriority w:val="0"/>
    <w:rPr>
      <w:b/>
      <w:sz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2024-08-29T09:56:00Z</dcterms:created>
  <dc:creator>宿子轩</dc:creator>
  <cp:lastModifiedBy>李娜</cp:lastModifiedBy>
  <dcterms:modified xsi:type="dcterms:W3CDTF">2024-08-30T00:18:28Z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7A9024972C0F4C89888917C8FE977211_12</vt:lpwstr>
  </property>
</Properties>
</file>