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color w:val="auto"/>
          <w:sz w:val="28"/>
          <w:szCs w:val="28"/>
          <w:highlight w:val="none"/>
        </w:rPr>
      </w:pPr>
      <w:r>
        <w:rPr>
          <w:rFonts w:hint="eastAsia" w:ascii="宋体" w:hAnsi="宋体" w:cs="宋体"/>
          <w:b/>
          <w:color w:val="auto"/>
          <w:sz w:val="28"/>
          <w:szCs w:val="28"/>
          <w:highlight w:val="none"/>
        </w:rPr>
        <w:t>附件1：资格审查条件</w:t>
      </w:r>
    </w:p>
    <w:p>
      <w:pPr>
        <w:jc w:val="center"/>
        <w:rPr>
          <w:rFonts w:hint="eastAsia" w:ascii="宋体" w:hAnsi="宋体"/>
          <w:color w:val="auto"/>
          <w:highlight w:val="none"/>
        </w:rPr>
      </w:pPr>
    </w:p>
    <w:p>
      <w:pPr>
        <w:pStyle w:val="15"/>
        <w:jc w:val="center"/>
        <w:rPr>
          <w:rFonts w:hint="eastAsia" w:ascii="宋体" w:hAnsi="宋体"/>
          <w:color w:val="auto"/>
          <w:highlight w:val="none"/>
        </w:rPr>
      </w:pPr>
    </w:p>
    <w:p>
      <w:pPr>
        <w:pStyle w:val="16"/>
        <w:rPr>
          <w:rFonts w:hint="eastAsia"/>
          <w:color w:val="auto"/>
          <w:highlight w:val="none"/>
        </w:rPr>
      </w:pPr>
    </w:p>
    <w:p>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附录1  资格审查条件（资质最低要求）</w:t>
      </w:r>
    </w:p>
    <w:tbl>
      <w:tblPr>
        <w:tblStyle w:val="12"/>
        <w:tblW w:w="5004" w:type="pct"/>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924"/>
        <w:gridCol w:w="6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1128" w:type="pct"/>
            <w:tcBorders>
              <w:top w:val="single" w:color="000000" w:sz="2" w:space="0"/>
              <w:left w:val="single" w:color="auto" w:sz="4" w:space="0"/>
              <w:bottom w:val="single" w:color="000000" w:sz="4" w:space="0"/>
              <w:right w:val="single" w:color="000000" w:sz="2" w:space="0"/>
            </w:tcBorders>
            <w:noWrap w:val="0"/>
            <w:vAlign w:val="center"/>
          </w:tcPr>
          <w:p>
            <w:pPr>
              <w:adjustRightInd w:val="0"/>
              <w:snapToGrid w:val="0"/>
              <w:spacing w:line="240" w:lineRule="auto"/>
              <w:jc w:val="center"/>
              <w:textAlignment w:val="baseline"/>
              <w:rPr>
                <w:rStyle w:val="17"/>
                <w:rFonts w:ascii="宋体" w:hAnsi="宋体"/>
                <w:b w:val="0"/>
                <w:bCs w:val="0"/>
                <w:snapToGrid w:val="0"/>
                <w:color w:val="auto"/>
                <w:kern w:val="0"/>
                <w:sz w:val="24"/>
                <w:szCs w:val="24"/>
                <w:highlight w:val="none"/>
              </w:rPr>
            </w:pPr>
            <w:r>
              <w:rPr>
                <w:rFonts w:hint="eastAsia" w:ascii="宋体" w:hAnsi="宋体" w:cs="宋体"/>
                <w:b w:val="0"/>
                <w:bCs w:val="0"/>
                <w:color w:val="auto"/>
                <w:sz w:val="24"/>
                <w:szCs w:val="24"/>
                <w:highlight w:val="none"/>
              </w:rPr>
              <w:t>投标人身份</w:t>
            </w:r>
          </w:p>
        </w:tc>
        <w:tc>
          <w:tcPr>
            <w:tcW w:w="3872" w:type="pct"/>
            <w:tcBorders>
              <w:top w:val="single" w:color="000000" w:sz="2" w:space="0"/>
              <w:left w:val="single" w:color="auto" w:sz="4" w:space="0"/>
              <w:bottom w:val="single" w:color="000000" w:sz="4" w:space="0"/>
              <w:right w:val="single" w:color="000000" w:sz="2" w:space="0"/>
            </w:tcBorders>
            <w:noWrap w:val="0"/>
            <w:vAlign w:val="center"/>
          </w:tcPr>
          <w:p>
            <w:pPr>
              <w:adjustRightInd w:val="0"/>
              <w:snapToGrid w:val="0"/>
              <w:spacing w:line="240" w:lineRule="auto"/>
              <w:jc w:val="center"/>
              <w:textAlignment w:val="baseline"/>
              <w:rPr>
                <w:rStyle w:val="17"/>
                <w:rFonts w:ascii="宋体" w:hAnsi="宋体"/>
                <w:b w:val="0"/>
                <w:bCs w:val="0"/>
                <w:snapToGrid w:val="0"/>
                <w:color w:val="auto"/>
                <w:kern w:val="0"/>
                <w:sz w:val="24"/>
                <w:szCs w:val="24"/>
                <w:highlight w:val="none"/>
              </w:rPr>
            </w:pPr>
            <w:r>
              <w:rPr>
                <w:rStyle w:val="17"/>
                <w:rFonts w:ascii="宋体" w:hAnsi="宋体"/>
                <w:b w:val="0"/>
                <w:bCs w:val="0"/>
                <w:snapToGrid w:val="0"/>
                <w:color w:val="auto"/>
                <w:kern w:val="0"/>
                <w:sz w:val="24"/>
                <w:szCs w:val="24"/>
                <w:highlight w:val="none"/>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1128" w:type="pct"/>
            <w:tcBorders>
              <w:top w:val="single" w:color="000000" w:sz="2" w:space="0"/>
              <w:left w:val="single" w:color="auto" w:sz="4" w:space="0"/>
              <w:bottom w:val="single" w:color="000000" w:sz="2" w:space="0"/>
              <w:right w:val="single" w:color="000000" w:sz="2" w:space="0"/>
            </w:tcBorders>
            <w:noWrap w:val="0"/>
            <w:vAlign w:val="center"/>
          </w:tcPr>
          <w:p>
            <w:pPr>
              <w:pStyle w:val="19"/>
              <w:adjustRightInd w:val="0"/>
              <w:snapToGrid w:val="0"/>
              <w:spacing w:line="240" w:lineRule="auto"/>
              <w:rPr>
                <w:rStyle w:val="17"/>
                <w:rFonts w:hAnsi="宋体"/>
                <w:bCs w:val="0"/>
                <w:snapToGrid w:val="0"/>
                <w:color w:val="auto"/>
                <w:sz w:val="24"/>
                <w:szCs w:val="24"/>
                <w:highlight w:val="none"/>
              </w:rPr>
            </w:pPr>
            <w:r>
              <w:rPr>
                <w:rFonts w:hint="eastAsia" w:hAnsi="宋体" w:cs="宋体"/>
                <w:color w:val="auto"/>
                <w:sz w:val="24"/>
                <w:szCs w:val="24"/>
                <w:highlight w:val="none"/>
              </w:rPr>
              <w:t>制造商</w:t>
            </w:r>
          </w:p>
        </w:tc>
        <w:tc>
          <w:tcPr>
            <w:tcW w:w="3872" w:type="pct"/>
            <w:tcBorders>
              <w:top w:val="single" w:color="000000" w:sz="2" w:space="0"/>
              <w:left w:val="single" w:color="auto" w:sz="4" w:space="0"/>
              <w:bottom w:val="single" w:color="000000" w:sz="2" w:space="0"/>
              <w:right w:val="single" w:color="000000" w:sz="2" w:space="0"/>
            </w:tcBorders>
            <w:noWrap w:val="0"/>
            <w:vAlign w:val="center"/>
          </w:tcPr>
          <w:p>
            <w:pPr>
              <w:pStyle w:val="19"/>
              <w:adjustRightInd w:val="0"/>
              <w:snapToGrid w:val="0"/>
              <w:spacing w:line="240" w:lineRule="auto"/>
              <w:jc w:val="both"/>
              <w:rPr>
                <w:rStyle w:val="17"/>
                <w:rFonts w:hint="eastAsia" w:hAnsi="宋体"/>
                <w:bCs w:val="0"/>
                <w:snapToGrid w:val="0"/>
                <w:color w:val="auto"/>
                <w:sz w:val="24"/>
                <w:szCs w:val="24"/>
                <w:highlight w:val="none"/>
              </w:rPr>
            </w:pPr>
            <w:r>
              <w:rPr>
                <w:rFonts w:hint="eastAsia" w:hAnsi="宋体"/>
                <w:color w:val="auto"/>
                <w:sz w:val="24"/>
                <w:szCs w:val="24"/>
                <w:highlight w:val="none"/>
              </w:rPr>
              <w:t>投标人应为在中华人民共和国境内合法注册、具有独立法人资格、</w:t>
            </w:r>
            <w:r>
              <w:rPr>
                <w:rFonts w:hint="eastAsia" w:hAnsi="宋体"/>
                <w:iCs/>
                <w:color w:val="auto"/>
                <w:sz w:val="24"/>
                <w:szCs w:val="24"/>
                <w:highlight w:val="none"/>
              </w:rPr>
              <w:t>持有有效的营业执照的制造商。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1128" w:type="pct"/>
            <w:tcBorders>
              <w:top w:val="single" w:color="000000" w:sz="2" w:space="0"/>
              <w:left w:val="single" w:color="auto" w:sz="4" w:space="0"/>
              <w:bottom w:val="single" w:color="000000" w:sz="2" w:space="0"/>
              <w:right w:val="single" w:color="000000" w:sz="2" w:space="0"/>
            </w:tcBorders>
            <w:noWrap w:val="0"/>
            <w:vAlign w:val="center"/>
          </w:tcPr>
          <w:p>
            <w:pPr>
              <w:pStyle w:val="19"/>
              <w:adjustRightInd w:val="0"/>
              <w:snapToGrid w:val="0"/>
              <w:spacing w:line="240" w:lineRule="auto"/>
              <w:rPr>
                <w:rStyle w:val="17"/>
                <w:rFonts w:hAnsi="宋体"/>
                <w:bCs w:val="0"/>
                <w:snapToGrid w:val="0"/>
                <w:color w:val="auto"/>
                <w:sz w:val="24"/>
                <w:szCs w:val="24"/>
                <w:highlight w:val="none"/>
              </w:rPr>
            </w:pPr>
            <w:r>
              <w:rPr>
                <w:rFonts w:hint="eastAsia" w:hAnsi="宋体" w:cs="宋体"/>
                <w:color w:val="auto"/>
                <w:sz w:val="24"/>
                <w:szCs w:val="24"/>
                <w:highlight w:val="none"/>
              </w:rPr>
              <w:t>代理商</w:t>
            </w:r>
          </w:p>
        </w:tc>
        <w:tc>
          <w:tcPr>
            <w:tcW w:w="3872" w:type="pct"/>
            <w:tcBorders>
              <w:top w:val="single" w:color="000000" w:sz="2" w:space="0"/>
              <w:left w:val="single" w:color="auto" w:sz="4" w:space="0"/>
              <w:bottom w:val="single" w:color="000000" w:sz="2" w:space="0"/>
              <w:right w:val="single" w:color="000000" w:sz="2" w:space="0"/>
            </w:tcBorders>
            <w:noWrap w:val="0"/>
            <w:vAlign w:val="center"/>
          </w:tcPr>
          <w:p>
            <w:pPr>
              <w:pStyle w:val="19"/>
              <w:adjustRightInd w:val="0"/>
              <w:snapToGrid w:val="0"/>
              <w:spacing w:line="240" w:lineRule="auto"/>
              <w:jc w:val="both"/>
              <w:rPr>
                <w:rStyle w:val="17"/>
                <w:rFonts w:hAnsi="宋体"/>
                <w:bCs w:val="0"/>
                <w:snapToGrid w:val="0"/>
                <w:color w:val="auto"/>
                <w:sz w:val="24"/>
                <w:szCs w:val="24"/>
                <w:highlight w:val="none"/>
              </w:rPr>
            </w:pPr>
            <w:r>
              <w:rPr>
                <w:rFonts w:hint="eastAsia" w:hAnsi="宋体"/>
                <w:color w:val="auto"/>
                <w:sz w:val="24"/>
                <w:szCs w:val="24"/>
                <w:highlight w:val="none"/>
              </w:rPr>
              <w:t>投标人应为在中华人民共和国境内合法注册、具有独立法人资格、</w:t>
            </w:r>
            <w:r>
              <w:rPr>
                <w:rFonts w:hint="eastAsia" w:hAnsi="宋体"/>
                <w:iCs/>
                <w:color w:val="auto"/>
                <w:sz w:val="24"/>
                <w:szCs w:val="24"/>
                <w:highlight w:val="none"/>
              </w:rPr>
              <w:t>持有有效的营业执照</w:t>
            </w:r>
            <w:r>
              <w:rPr>
                <w:rFonts w:hint="eastAsia" w:hAnsi="宋体"/>
                <w:color w:val="auto"/>
                <w:sz w:val="24"/>
                <w:szCs w:val="24"/>
                <w:highlight w:val="none"/>
              </w:rPr>
              <w:t>代理商，且具有制造商出具的针对本招标项目所投设备的唯一授权书。</w:t>
            </w:r>
          </w:p>
        </w:tc>
      </w:tr>
    </w:tbl>
    <w:p>
      <w:pPr>
        <w:spacing w:line="240" w:lineRule="auto"/>
        <w:jc w:val="center"/>
        <w:rPr>
          <w:rFonts w:ascii="宋体" w:hAnsi="宋体"/>
          <w:color w:val="auto"/>
          <w:sz w:val="24"/>
          <w:szCs w:val="24"/>
          <w:highlight w:val="none"/>
        </w:rPr>
      </w:pPr>
    </w:p>
    <w:p>
      <w:pPr>
        <w:pStyle w:val="2"/>
        <w:spacing w:line="240" w:lineRule="auto"/>
        <w:ind w:left="0" w:leftChars="0" w:firstLine="0" w:firstLineChars="0"/>
        <w:jc w:val="center"/>
        <w:rPr>
          <w:rFonts w:hint="eastAsia"/>
          <w:color w:val="auto"/>
          <w:sz w:val="24"/>
          <w:szCs w:val="24"/>
          <w:highlight w:val="none"/>
        </w:rPr>
      </w:pPr>
    </w:p>
    <w:p>
      <w:pPr>
        <w:spacing w:line="240" w:lineRule="auto"/>
        <w:jc w:val="center"/>
        <w:rPr>
          <w:rFonts w:hint="eastAsia" w:ascii="宋体" w:hAnsi="宋体"/>
          <w:color w:val="auto"/>
          <w:sz w:val="24"/>
          <w:szCs w:val="24"/>
          <w:highlight w:val="none"/>
        </w:rPr>
      </w:pPr>
    </w:p>
    <w:p>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附录2  资格审查条件（业绩最低要求）</w:t>
      </w:r>
    </w:p>
    <w:tbl>
      <w:tblPr>
        <w:tblStyle w:val="12"/>
        <w:tblW w:w="5004" w:type="pct"/>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noWrap w:val="0"/>
            <w:vAlign w:val="center"/>
          </w:tcPr>
          <w:p>
            <w:pPr>
              <w:adjustRightInd w:val="0"/>
              <w:snapToGrid w:val="0"/>
              <w:spacing w:line="240" w:lineRule="auto"/>
              <w:jc w:val="center"/>
              <w:textAlignment w:val="baseline"/>
              <w:rPr>
                <w:rStyle w:val="17"/>
                <w:rFonts w:ascii="宋体" w:hAnsi="宋体"/>
                <w:snapToGrid w:val="0"/>
                <w:color w:val="auto"/>
                <w:kern w:val="0"/>
                <w:sz w:val="24"/>
                <w:szCs w:val="24"/>
                <w:highlight w:val="none"/>
              </w:rPr>
            </w:pPr>
            <w:r>
              <w:rPr>
                <w:rStyle w:val="17"/>
                <w:rFonts w:ascii="宋体" w:hAnsi="宋体"/>
                <w:snapToGrid w:val="0"/>
                <w:color w:val="auto"/>
                <w:kern w:val="0"/>
                <w:sz w:val="24"/>
                <w:szCs w:val="24"/>
                <w:highlight w:val="none"/>
              </w:rPr>
              <w:t>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29" w:hRule="atLeast"/>
        </w:trPr>
        <w:tc>
          <w:tcPr>
            <w:tcW w:w="5000" w:type="pct"/>
            <w:tcBorders>
              <w:top w:val="single" w:color="000000" w:sz="2" w:space="0"/>
              <w:left w:val="single" w:color="auto" w:sz="4" w:space="0"/>
              <w:bottom w:val="single" w:color="000000" w:sz="2" w:space="0"/>
              <w:right w:val="single" w:color="000000" w:sz="2" w:space="0"/>
            </w:tcBorders>
            <w:noWrap w:val="0"/>
            <w:vAlign w:val="center"/>
          </w:tcPr>
          <w:p>
            <w:pPr>
              <w:pStyle w:val="19"/>
              <w:adjustRightInd w:val="0"/>
              <w:snapToGrid w:val="0"/>
              <w:spacing w:line="240" w:lineRule="auto"/>
              <w:jc w:val="left"/>
              <w:rPr>
                <w:rStyle w:val="17"/>
                <w:rFonts w:hAnsi="宋体"/>
                <w:bCs w:val="0"/>
                <w:snapToGrid w:val="0"/>
                <w:color w:val="auto"/>
                <w:sz w:val="24"/>
                <w:szCs w:val="24"/>
                <w:highlight w:val="none"/>
              </w:rPr>
            </w:pPr>
            <w:r>
              <w:rPr>
                <w:rStyle w:val="17"/>
                <w:rFonts w:hint="eastAsia" w:hAnsi="宋体"/>
                <w:bCs w:val="0"/>
                <w:snapToGrid w:val="0"/>
                <w:color w:val="auto"/>
                <w:sz w:val="24"/>
                <w:szCs w:val="24"/>
                <w:highlight w:val="none"/>
              </w:rPr>
              <w:t>业绩要求：近</w:t>
            </w:r>
            <w:r>
              <w:rPr>
                <w:rStyle w:val="17"/>
                <w:rFonts w:hAnsi="宋体"/>
                <w:bCs w:val="0"/>
                <w:snapToGrid w:val="0"/>
                <w:color w:val="auto"/>
                <w:sz w:val="24"/>
                <w:szCs w:val="24"/>
                <w:highlight w:val="none"/>
              </w:rPr>
              <w:t>5</w:t>
            </w:r>
            <w:r>
              <w:rPr>
                <w:rStyle w:val="17"/>
                <w:rFonts w:hint="eastAsia" w:hAnsi="宋体"/>
                <w:bCs w:val="0"/>
                <w:snapToGrid w:val="0"/>
                <w:color w:val="auto"/>
                <w:sz w:val="24"/>
                <w:szCs w:val="24"/>
                <w:highlight w:val="none"/>
              </w:rPr>
              <w:t>年内（20</w:t>
            </w:r>
            <w:r>
              <w:rPr>
                <w:rStyle w:val="17"/>
                <w:rFonts w:hAnsi="宋体"/>
                <w:bCs w:val="0"/>
                <w:snapToGrid w:val="0"/>
                <w:color w:val="auto"/>
                <w:sz w:val="24"/>
                <w:szCs w:val="24"/>
                <w:highlight w:val="none"/>
              </w:rPr>
              <w:t>1</w:t>
            </w:r>
            <w:r>
              <w:rPr>
                <w:rStyle w:val="17"/>
                <w:rFonts w:hint="eastAsia"/>
                <w:snapToGrid w:val="0"/>
                <w:color w:val="auto"/>
                <w:sz w:val="24"/>
                <w:szCs w:val="24"/>
                <w:highlight w:val="none"/>
              </w:rPr>
              <w:t>9</w:t>
            </w:r>
            <w:r>
              <w:rPr>
                <w:rStyle w:val="17"/>
                <w:rFonts w:hint="eastAsia" w:hAnsi="宋体"/>
                <w:bCs w:val="0"/>
                <w:snapToGrid w:val="0"/>
                <w:color w:val="auto"/>
                <w:sz w:val="24"/>
                <w:szCs w:val="24"/>
                <w:highlight w:val="none"/>
              </w:rPr>
              <w:t>年8月1日至今，以合同签订时间为准）至少完成1项合同额不低于700万元的</w:t>
            </w:r>
            <w:r>
              <w:rPr>
                <w:rFonts w:hint="eastAsia" w:hAnsi="宋体"/>
                <w:iCs/>
                <w:color w:val="auto"/>
                <w:sz w:val="24"/>
                <w:szCs w:val="24"/>
                <w:highlight w:val="none"/>
              </w:rPr>
              <w:t>高杆灯</w:t>
            </w:r>
            <w:r>
              <w:rPr>
                <w:rStyle w:val="17"/>
                <w:rFonts w:hint="eastAsia" w:hAnsi="宋体"/>
                <w:bCs w:val="0"/>
                <w:snapToGrid w:val="0"/>
                <w:color w:val="auto"/>
                <w:sz w:val="24"/>
                <w:szCs w:val="24"/>
                <w:highlight w:val="none"/>
              </w:rPr>
              <w:t>供货业绩。</w:t>
            </w:r>
          </w:p>
        </w:tc>
      </w:tr>
    </w:tbl>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注：代理商和制造商的业绩可互用，以上业绩不包含制造商和代理商签订的合同。</w:t>
      </w:r>
    </w:p>
    <w:p>
      <w:pPr>
        <w:pStyle w:val="5"/>
        <w:spacing w:line="240" w:lineRule="auto"/>
        <w:ind w:left="0"/>
        <w:jc w:val="center"/>
        <w:rPr>
          <w:color w:val="auto"/>
          <w:sz w:val="24"/>
          <w:szCs w:val="24"/>
          <w:highlight w:val="none"/>
          <w:lang w:eastAsia="zh-CN"/>
        </w:rPr>
      </w:pPr>
    </w:p>
    <w:p>
      <w:pPr>
        <w:spacing w:line="240" w:lineRule="auto"/>
        <w:jc w:val="center"/>
        <w:rPr>
          <w:rFonts w:ascii="宋体" w:hAnsi="宋体"/>
          <w:color w:val="auto"/>
          <w:sz w:val="24"/>
          <w:szCs w:val="24"/>
          <w:highlight w:val="none"/>
        </w:rPr>
      </w:pPr>
    </w:p>
    <w:p>
      <w:pPr>
        <w:adjustRightInd w:val="0"/>
        <w:snapToGrid w:val="0"/>
        <w:spacing w:line="240" w:lineRule="auto"/>
        <w:jc w:val="center"/>
        <w:rPr>
          <w:rFonts w:hint="eastAsia" w:ascii="宋体" w:hAnsi="宋体"/>
          <w:snapToGrid w:val="0"/>
          <w:color w:val="auto"/>
          <w:kern w:val="0"/>
          <w:sz w:val="24"/>
          <w:szCs w:val="24"/>
          <w:highlight w:val="none"/>
        </w:rPr>
      </w:pPr>
    </w:p>
    <w:p>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附录3  资格审查条件（信誉最低要求）</w:t>
      </w:r>
    </w:p>
    <w:tbl>
      <w:tblPr>
        <w:tblStyle w:val="12"/>
        <w:tblW w:w="5004" w:type="pct"/>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noWrap w:val="0"/>
            <w:vAlign w:val="center"/>
          </w:tcPr>
          <w:p>
            <w:pPr>
              <w:adjustRightInd w:val="0"/>
              <w:snapToGrid w:val="0"/>
              <w:spacing w:line="240" w:lineRule="auto"/>
              <w:jc w:val="center"/>
              <w:textAlignment w:val="baseline"/>
              <w:rPr>
                <w:rStyle w:val="17"/>
                <w:rFonts w:ascii="宋体" w:hAnsi="宋体"/>
                <w:snapToGrid w:val="0"/>
                <w:color w:val="auto"/>
                <w:kern w:val="0"/>
                <w:sz w:val="24"/>
                <w:szCs w:val="24"/>
                <w:highlight w:val="none"/>
              </w:rPr>
            </w:pPr>
            <w:r>
              <w:rPr>
                <w:rStyle w:val="17"/>
                <w:rFonts w:ascii="宋体" w:hAnsi="宋体"/>
                <w:snapToGrid w:val="0"/>
                <w:color w:val="auto"/>
                <w:kern w:val="0"/>
                <w:sz w:val="24"/>
                <w:szCs w:val="24"/>
                <w:highlight w:val="none"/>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5000" w:type="pct"/>
            <w:tcBorders>
              <w:top w:val="single" w:color="000000" w:sz="2" w:space="0"/>
              <w:left w:val="single" w:color="auto" w:sz="4" w:space="0"/>
              <w:bottom w:val="single" w:color="000000" w:sz="2" w:space="0"/>
              <w:right w:val="single" w:color="000000" w:sz="2" w:space="0"/>
            </w:tcBorders>
            <w:noWrap w:val="0"/>
            <w:vAlign w:val="center"/>
          </w:tcPr>
          <w:p>
            <w:pPr>
              <w:pStyle w:val="14"/>
              <w:spacing w:line="240" w:lineRule="auto"/>
              <w:ind w:firstLineChars="200"/>
              <w:rPr>
                <w:rStyle w:val="17"/>
                <w:rFonts w:ascii="宋体" w:hAnsi="宋体"/>
                <w:snapToGrid w:val="0"/>
                <w:color w:val="auto"/>
                <w:sz w:val="24"/>
                <w:szCs w:val="24"/>
                <w:highlight w:val="none"/>
                <w:lang w:bidi="ar"/>
              </w:rPr>
            </w:pPr>
            <w:r>
              <w:rPr>
                <w:rFonts w:hint="eastAsia" w:ascii="宋体" w:hAnsi="宋体"/>
                <w:snapToGrid w:val="0"/>
                <w:color w:val="auto"/>
                <w:sz w:val="24"/>
                <w:szCs w:val="24"/>
                <w:highlight w:val="none"/>
                <w:lang w:bidi="ar"/>
              </w:rPr>
              <w:t>投标人在近1年内（2023年8月1日至今）不曾在</w:t>
            </w:r>
            <w:r>
              <w:rPr>
                <w:rFonts w:hint="eastAsia" w:ascii="宋体" w:hAnsi="宋体"/>
                <w:snapToGrid w:val="0"/>
                <w:color w:val="auto"/>
                <w:sz w:val="24"/>
                <w:szCs w:val="24"/>
                <w:highlight w:val="none"/>
                <w:lang w:val="en-US" w:eastAsia="zh-CN" w:bidi="ar"/>
              </w:rPr>
              <w:t>高杆灯</w:t>
            </w:r>
            <w:r>
              <w:rPr>
                <w:rFonts w:hint="eastAsia" w:ascii="宋体" w:hAnsi="宋体"/>
                <w:snapToGrid w:val="0"/>
                <w:color w:val="auto"/>
                <w:sz w:val="24"/>
                <w:szCs w:val="24"/>
                <w:highlight w:val="none"/>
                <w:lang w:bidi="ar"/>
              </w:rPr>
              <w:t>供货合同中违约而被驱逐或因投标人自身的原因而使</w:t>
            </w:r>
            <w:r>
              <w:rPr>
                <w:rFonts w:hint="eastAsia" w:ascii="宋体" w:hAnsi="宋体"/>
                <w:snapToGrid w:val="0"/>
                <w:color w:val="auto"/>
                <w:sz w:val="24"/>
                <w:szCs w:val="24"/>
                <w:highlight w:val="none"/>
                <w:lang w:val="en-US" w:eastAsia="zh-CN" w:bidi="ar"/>
              </w:rPr>
              <w:t>高杆灯</w:t>
            </w:r>
            <w:r>
              <w:rPr>
                <w:rFonts w:hint="eastAsia" w:ascii="宋体" w:hAnsi="宋体"/>
                <w:snapToGrid w:val="0"/>
                <w:color w:val="auto"/>
                <w:sz w:val="24"/>
                <w:szCs w:val="24"/>
                <w:highlight w:val="none"/>
                <w:lang w:bidi="ar"/>
              </w:rPr>
              <w:t>供货合同被解除。</w:t>
            </w:r>
          </w:p>
        </w:tc>
      </w:tr>
    </w:tbl>
    <w:p>
      <w:pPr>
        <w:pStyle w:val="3"/>
        <w:spacing w:before="120" w:line="360" w:lineRule="auto"/>
        <w:rPr>
          <w:rFonts w:hint="eastAsia" w:ascii="宋体" w:hAnsi="宋体" w:eastAsia="宋体"/>
          <w:snapToGrid w:val="0"/>
          <w:color w:val="auto"/>
          <w:kern w:val="0"/>
          <w:sz w:val="28"/>
          <w:szCs w:val="28"/>
          <w:highlight w:val="none"/>
          <w:lang w:eastAsia="zh-CN"/>
        </w:rPr>
      </w:pPr>
      <w:r>
        <w:rPr>
          <w:rFonts w:ascii="宋体" w:hAnsi="宋体"/>
          <w:color w:val="auto"/>
          <w:w w:val="99"/>
          <w:sz w:val="28"/>
          <w:szCs w:val="28"/>
          <w:highlight w:val="none"/>
        </w:rPr>
        <w:br w:type="page"/>
      </w:r>
      <w:bookmarkStart w:id="0" w:name="_Toc136511007"/>
      <w:bookmarkStart w:id="1" w:name="_Toc147943860"/>
      <w:bookmarkStart w:id="2" w:name="_Toc16918"/>
      <w:bookmarkStart w:id="3" w:name="_Toc10475"/>
      <w:r>
        <w:rPr>
          <w:rFonts w:ascii="宋体" w:hAnsi="宋体"/>
          <w:snapToGrid w:val="0"/>
          <w:color w:val="auto"/>
          <w:kern w:val="0"/>
          <w:sz w:val="28"/>
          <w:szCs w:val="28"/>
          <w:highlight w:val="none"/>
        </w:rPr>
        <w:t>附件2：</w:t>
      </w:r>
      <w:bookmarkEnd w:id="0"/>
      <w:bookmarkEnd w:id="1"/>
      <w:r>
        <w:rPr>
          <w:rFonts w:hint="eastAsia" w:ascii="宋体" w:hAnsi="宋体"/>
          <w:snapToGrid w:val="0"/>
          <w:color w:val="auto"/>
          <w:kern w:val="0"/>
          <w:sz w:val="28"/>
          <w:szCs w:val="28"/>
          <w:highlight w:val="none"/>
        </w:rPr>
        <w:t>评标办法及</w:t>
      </w:r>
      <w:bookmarkEnd w:id="2"/>
      <w:r>
        <w:rPr>
          <w:rFonts w:hint="eastAsia" w:ascii="宋体" w:hAnsi="宋体"/>
          <w:snapToGrid w:val="0"/>
          <w:color w:val="auto"/>
          <w:kern w:val="0"/>
          <w:sz w:val="28"/>
          <w:szCs w:val="28"/>
          <w:highlight w:val="none"/>
          <w:lang w:eastAsia="zh-CN"/>
        </w:rPr>
        <w:t>定标方法</w:t>
      </w:r>
      <w:bookmarkEnd w:id="3"/>
    </w:p>
    <w:p>
      <w:pPr>
        <w:adjustRightInd w:val="0"/>
        <w:snapToGrid w:val="0"/>
        <w:spacing w:line="360" w:lineRule="auto"/>
        <w:jc w:val="center"/>
        <w:textAlignment w:val="baseline"/>
        <w:rPr>
          <w:rFonts w:ascii="宋体" w:hAnsi="宋体"/>
          <w:b/>
          <w:bCs/>
          <w:snapToGrid w:val="0"/>
          <w:color w:val="auto"/>
          <w:kern w:val="0"/>
          <w:sz w:val="24"/>
          <w:highlight w:val="none"/>
        </w:rPr>
      </w:pPr>
      <w:bookmarkStart w:id="4" w:name="_Toc134890444"/>
      <w:bookmarkStart w:id="5" w:name="_Toc531949857"/>
      <w:bookmarkStart w:id="6" w:name="_Toc509659998"/>
      <w:bookmarkStart w:id="7" w:name="_Toc134792341"/>
      <w:bookmarkStart w:id="8" w:name="_Toc459307890"/>
      <w:bookmarkStart w:id="9" w:name="_Toc134890522"/>
      <w:bookmarkStart w:id="10" w:name="_Toc134792409"/>
      <w:bookmarkStart w:id="11" w:name="_Toc450319202"/>
      <w:bookmarkStart w:id="12" w:name="_Toc134792892"/>
      <w:bookmarkStart w:id="13" w:name="_Toc509660966"/>
      <w:bookmarkStart w:id="14" w:name="_Toc502992691"/>
      <w:bookmarkStart w:id="15" w:name="_Toc444271617"/>
      <w:bookmarkStart w:id="16" w:name="_Toc444088432"/>
      <w:bookmarkStart w:id="17" w:name="_Toc445222503"/>
      <w:bookmarkStart w:id="18" w:name="_Toc445382083"/>
      <w:r>
        <w:rPr>
          <w:rFonts w:ascii="宋体" w:hAnsi="宋体"/>
          <w:b/>
          <w:bCs/>
          <w:snapToGrid w:val="0"/>
          <w:color w:val="auto"/>
          <w:kern w:val="0"/>
          <w:sz w:val="24"/>
          <w:highlight w:val="none"/>
        </w:rPr>
        <w:t>评标办法（技术评分最低标价法）</w:t>
      </w:r>
      <w:bookmarkEnd w:id="4"/>
      <w:bookmarkEnd w:id="5"/>
      <w:bookmarkEnd w:id="6"/>
      <w:bookmarkEnd w:id="7"/>
      <w:bookmarkEnd w:id="8"/>
      <w:bookmarkEnd w:id="9"/>
      <w:bookmarkEnd w:id="10"/>
      <w:bookmarkEnd w:id="11"/>
      <w:bookmarkEnd w:id="12"/>
      <w:bookmarkEnd w:id="13"/>
      <w:bookmarkEnd w:id="14"/>
    </w:p>
    <w:bookmarkEnd w:id="15"/>
    <w:bookmarkEnd w:id="16"/>
    <w:bookmarkEnd w:id="17"/>
    <w:bookmarkEnd w:id="18"/>
    <w:p>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评标办法</w:t>
      </w:r>
      <w:r>
        <w:rPr>
          <w:rFonts w:ascii="宋体" w:hAnsi="宋体"/>
          <w:b/>
          <w:bCs/>
          <w:snapToGrid w:val="0"/>
          <w:color w:val="auto"/>
          <w:kern w:val="0"/>
          <w:sz w:val="24"/>
          <w:highlight w:val="none"/>
        </w:rPr>
        <w:t>前附表</w:t>
      </w:r>
    </w:p>
    <w:tbl>
      <w:tblPr>
        <w:tblStyle w:val="12"/>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197" w:type="dxa"/>
            <w:noWrap w:val="0"/>
            <w:vAlign w:val="center"/>
          </w:tcPr>
          <w:p>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pPr>
              <w:snapToGrid w:val="0"/>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tc>
        <w:tc>
          <w:tcPr>
            <w:tcW w:w="1317" w:type="dxa"/>
            <w:noWrap w:val="0"/>
            <w:vAlign w:val="center"/>
          </w:tcPr>
          <w:p>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7197" w:type="dxa"/>
            <w:noWrap w:val="0"/>
            <w:vAlign w:val="center"/>
          </w:tcPr>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本次评标采用技术评分最低标价法，双信封形式。</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评标委员会对满足招标文件实质性要求的投标文件</w:t>
            </w:r>
            <w:r>
              <w:rPr>
                <w:rFonts w:hint="eastAsia" w:ascii="宋体" w:hAnsi="宋体" w:eastAsia="宋体" w:cs="宋体"/>
                <w:color w:val="auto"/>
                <w:sz w:val="24"/>
                <w:szCs w:val="24"/>
                <w:highlight w:val="none"/>
              </w:rPr>
              <w:t>第一个信封，按照本章第2.2款规定的评分标准进行打分，并按商务和技术得分由高到低顺序确定3名投标人。</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综合得分</w:t>
            </w:r>
            <w:r>
              <w:rPr>
                <w:rFonts w:hint="eastAsia" w:ascii="宋体" w:hAnsi="宋体" w:eastAsia="宋体" w:cs="宋体"/>
                <w:color w:val="auto"/>
                <w:sz w:val="24"/>
                <w:szCs w:val="24"/>
                <w:highlight w:val="none"/>
              </w:rPr>
              <w:t>相等时，评标委员会依次按照以下优先顺序</w:t>
            </w:r>
            <w:r>
              <w:rPr>
                <w:rFonts w:hint="eastAsia" w:ascii="宋体" w:hAnsi="宋体" w:eastAsia="宋体" w:cs="宋体"/>
                <w:color w:val="auto"/>
                <w:sz w:val="24"/>
                <w:szCs w:val="24"/>
                <w:highlight w:val="none"/>
                <w:lang w:val="en-US" w:eastAsia="zh-CN"/>
              </w:rPr>
              <w:t>推荐通过第一信封的投标单位</w:t>
            </w:r>
            <w:r>
              <w:rPr>
                <w:rFonts w:hint="eastAsia" w:ascii="宋体" w:hAnsi="宋体" w:eastAsia="宋体" w:cs="宋体"/>
                <w:color w:val="auto"/>
                <w:sz w:val="24"/>
                <w:szCs w:val="24"/>
                <w:highlight w:val="none"/>
              </w:rPr>
              <w:t>：</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（1）第一个信封暗标技术得分较高的优先；</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（2）满足资格审查条件（业绩最低要求）要求的业绩累计合同金额高的优先。</w:t>
            </w:r>
          </w:p>
          <w:p>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评标委员会</w:t>
            </w:r>
            <w:r>
              <w:rPr>
                <w:rFonts w:hint="eastAsia" w:ascii="宋体" w:hAnsi="宋体" w:eastAsia="宋体" w:cs="宋体"/>
                <w:color w:val="auto"/>
                <w:sz w:val="24"/>
                <w:szCs w:val="24"/>
                <w:highlight w:val="none"/>
                <w:lang w:val="en-US" w:eastAsia="zh-CN"/>
              </w:rPr>
              <w:t>开启通过初步评审的前3名投标单位的第二信封，并向招标人推荐不排序的1-3名中标候选人。</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第一信封评审得分未进入前3名的投标人，其第二信封不予开封。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317"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形式评审与响应性评审标准</w:t>
            </w:r>
          </w:p>
        </w:tc>
        <w:tc>
          <w:tcPr>
            <w:tcW w:w="7197" w:type="dxa"/>
            <w:noWrap w:val="0"/>
            <w:vAlign w:val="center"/>
          </w:tcPr>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第一个信封（商务文件）评审标准：</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a.投标函按照招标文件规定填报了招标人名称、项目名称、补遗书编号（如有）、交货地点、交货期；</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（2）投标文件上法定代表人或其委托代理人的签字、投标人的单位章盖章齐全，符合招标文件规定：</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（3）投标人按照招标文件的规定提供了投标保证金，满足投标人须知3.4.1规定。</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（4）投标人法定代表人授权委托代理人签署投标文件的，须提交授权委托书，授权委托书的签字盖章符合招标文件规定。</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（5）投标人法定代表人亲自签署投标文件的，提供了法定代表人身份证明,法定代表人身份证明的签字盖章符合招标文件规定。</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（6）投标人未以联合体形式投标。</w:t>
            </w:r>
          </w:p>
          <w:p>
            <w:pPr>
              <w:snapToGrid w:val="0"/>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（7）投标人未对本项目进行分包。</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（8）同一投标人对未提交两个以上不同的投标文件。</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（9）投标文件中未出现有关投标报价的内容。</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（10）投标文件载明的招标项目完成期限未超过招标文件规定的时限。</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（11）投标文件对招标文件的实质性要求和条件作出响应。</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（12）投标文件中投标设备的主要技术指标（带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的条款）满足招标文件的要求。</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（13）权利义务符合招标文件规定：</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a．投标人应接受招标文件规定的风险划分原则，未提出新的风险划分办法；</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b．投标人未增加发包人的责任范围，或减少投标人义务；</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c．投标人未提出不同的工程验收、计量、支付办法；</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d．投标人对合同纠纷、事故处理办法未提出异议；</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e．投标人在投标活动中无欺诈行为；</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f．投标人未对合同条款有重要保留</w:t>
            </w:r>
          </w:p>
          <w:p>
            <w:pPr>
              <w:widowControl/>
              <w:spacing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0"/>
                <w:sz w:val="24"/>
                <w:szCs w:val="24"/>
                <w:highlight w:val="none"/>
                <w:lang w:bidi="ar"/>
              </w:rPr>
              <w:t>第一个信封（技术文件）评审标准</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val="en-US" w:eastAsia="zh-CN" w:bidi="ar"/>
              </w:rPr>
              <w:t>暗标</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bidi="ar"/>
              </w:rPr>
              <w:t>：</w:t>
            </w:r>
          </w:p>
          <w:p>
            <w:pPr>
              <w:widowControl/>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（1）暗标部分按照招标文件对暗标编制的相关规定编制，具体详见投标人须知前附表 3.6.2（</w:t>
            </w:r>
            <w:r>
              <w:rPr>
                <w:rFonts w:hint="eastAsia" w:ascii="宋体" w:hAnsi="宋体" w:eastAsia="宋体"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bidi="ar"/>
              </w:rPr>
              <w:t>）。</w:t>
            </w:r>
          </w:p>
          <w:p>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第二个信封（报价文件）评审标准：</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a.投标函按照招标文件规定填报了招标人名称、项目名称、补遗书编号（如有）、投标价（包括大写金额和小写金额）；</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（2）投标文件上法定代表人或委托代理人的签字、投标人的单位章盖章齐全，符合招标文件规定。</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（3）投标报价未超过招标文件设定的最高限价。</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（4）投标报价的大写金额能够确定具体数值。</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（5）同一投标人未提交两个以上不同的投标报价。</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）分项报价表中合价金额与投标函大写金额一致。</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（7）投标人填写完毕的分项报价清单未对招标人提供的固化清单电子文件中的数据、格式和运算定义进行修改；分项报价清单中的投标</w:t>
            </w:r>
            <w:r>
              <w:rPr>
                <w:rFonts w:hint="eastAsia" w:ascii="宋体" w:hAnsi="宋体" w:eastAsia="宋体" w:cs="宋体"/>
                <w:color w:val="auto"/>
                <w:sz w:val="24"/>
                <w:szCs w:val="24"/>
                <w:highlight w:val="none"/>
                <w:lang w:val="en-US" w:eastAsia="zh-CN"/>
              </w:rPr>
              <w:t>总价</w:t>
            </w:r>
            <w:r>
              <w:rPr>
                <w:rFonts w:hint="eastAsia" w:ascii="宋体" w:hAnsi="宋体" w:eastAsia="宋体" w:cs="宋体"/>
                <w:color w:val="auto"/>
                <w:sz w:val="24"/>
                <w:szCs w:val="24"/>
                <w:highlight w:val="none"/>
              </w:rPr>
              <w:t>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317"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197" w:type="dxa"/>
            <w:noWrap w:val="0"/>
            <w:vAlign w:val="center"/>
          </w:tcPr>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（1）投标人具备有效的企业营业执照、组织机构代码证（三证合一或五证合一的除外）和基本账户开户许可证（或基本存款账户信息）；</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（2）投标人的资质等级符合招标文件规定；</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（3）投标人的类似项目业绩符合招标文件规定；</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（4）投标人的信誉符合招标文件规定；</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317" w:type="dxa"/>
            <w:noWrap w:val="0"/>
            <w:vAlign w:val="center"/>
          </w:tcPr>
          <w:p>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7197" w:type="dxa"/>
            <w:noWrap w:val="0"/>
            <w:vAlign w:val="center"/>
          </w:tcPr>
          <w:p>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317"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197" w:type="dxa"/>
            <w:noWrap w:val="0"/>
            <w:vAlign w:val="center"/>
          </w:tcPr>
          <w:p>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商务部分：50分</w:t>
            </w:r>
          </w:p>
          <w:p>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技术部分：50分</w:t>
            </w:r>
          </w:p>
          <w:p>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其他评分因素：0分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317"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第二个信封详细评审标准</w:t>
            </w:r>
          </w:p>
        </w:tc>
        <w:tc>
          <w:tcPr>
            <w:tcW w:w="7197" w:type="dxa"/>
            <w:noWrap w:val="0"/>
            <w:vAlign w:val="center"/>
          </w:tcPr>
          <w:p>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评标价计算公式：</w:t>
            </w:r>
          </w:p>
          <w:p>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1317"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通过第一个信封详细评审的投标人数量</w:t>
            </w:r>
          </w:p>
        </w:tc>
        <w:tc>
          <w:tcPr>
            <w:tcW w:w="7197" w:type="dxa"/>
            <w:noWrap w:val="0"/>
            <w:vAlign w:val="center"/>
          </w:tcPr>
          <w:p>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按照投标人的商务和技术得分由高到低排序，选择前3名通过详细评审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3.4.2-3.4.4</w:t>
            </w:r>
          </w:p>
        </w:tc>
        <w:tc>
          <w:tcPr>
            <w:tcW w:w="1317" w:type="dxa"/>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投标报价修正</w:t>
            </w:r>
          </w:p>
        </w:tc>
        <w:tc>
          <w:tcPr>
            <w:tcW w:w="7197" w:type="dxa"/>
            <w:noWrap w:val="0"/>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317"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7197" w:type="dxa"/>
            <w:noWrap w:val="0"/>
            <w:vAlign w:val="center"/>
          </w:tcPr>
          <w:p>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在评标过程中，评标委员会应对以下信息进行查询：</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信用情况网页截图内容与在“国家企业信用信息公示系统”中严重违法失信名单（黑名单）信息（不含分公司）或在“信用中国”网站“中失信被执行人、经营异常名录、重大税收违法失信主体、政府采购严重违法失信行为记录名单（均不含分公司）的复核结果一致。</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如投标人未提供相关网页截图或所附截图与复核结果不一致导致不能满足资格评审要求的，评标委员会应否决其投标。</w:t>
            </w:r>
          </w:p>
          <w:p>
            <w:pPr>
              <w:autoSpaceDE w:val="0"/>
              <w:autoSpaceDN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投标人应保证本款所附的全部截图的真实性。</w:t>
            </w:r>
            <w:r>
              <w:rPr>
                <w:rFonts w:hint="eastAsia" w:ascii="宋体" w:hAnsi="宋体" w:eastAsia="宋体" w:cs="宋体"/>
                <w:color w:val="auto"/>
                <w:sz w:val="24"/>
                <w:szCs w:val="24"/>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pPr>
        <w:adjustRightInd w:val="0"/>
        <w:snapToGrid w:val="0"/>
        <w:spacing w:line="360" w:lineRule="auto"/>
        <w:textAlignment w:val="baseline"/>
        <w:rPr>
          <w:rFonts w:ascii="宋体" w:hAnsi="宋体"/>
          <w:b/>
          <w:bCs/>
          <w:snapToGrid w:val="0"/>
          <w:color w:val="auto"/>
          <w:kern w:val="0"/>
          <w:sz w:val="28"/>
          <w:szCs w:val="24"/>
          <w:highlight w:val="none"/>
        </w:rPr>
      </w:pPr>
      <w:r>
        <w:rPr>
          <w:rFonts w:hint="eastAsia" w:ascii="宋体" w:hAnsi="宋体"/>
          <w:b/>
          <w:bCs/>
          <w:snapToGrid w:val="0"/>
          <w:color w:val="auto"/>
          <w:kern w:val="0"/>
          <w:sz w:val="28"/>
          <w:szCs w:val="24"/>
          <w:highlight w:val="none"/>
        </w:rPr>
        <w:br w:type="page"/>
      </w:r>
      <w:r>
        <w:rPr>
          <w:rFonts w:hint="eastAsia" w:ascii="宋体" w:hAnsi="宋体"/>
          <w:b/>
          <w:bCs/>
          <w:snapToGrid w:val="0"/>
          <w:color w:val="auto"/>
          <w:kern w:val="0"/>
          <w:sz w:val="28"/>
          <w:szCs w:val="24"/>
          <w:highlight w:val="none"/>
        </w:rPr>
        <w:t>评分标准</w:t>
      </w:r>
    </w:p>
    <w:tbl>
      <w:tblPr>
        <w:tblStyle w:val="12"/>
        <w:tblpPr w:leftFromText="180" w:rightFromText="180" w:vertAnchor="text" w:tblpXSpec="center" w:tblpY="1"/>
        <w:tblOverlap w:val="never"/>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86"/>
        <w:gridCol w:w="2216"/>
        <w:gridCol w:w="894"/>
        <w:gridCol w:w="4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9" w:type="dxa"/>
            <w:noWrap w:val="0"/>
            <w:vAlign w:val="center"/>
          </w:tcPr>
          <w:p>
            <w:pPr>
              <w:pStyle w:val="8"/>
              <w:jc w:val="center"/>
              <w:textAlignment w:val="baseline"/>
              <w:rPr>
                <w:rFonts w:hint="eastAsia" w:hAnsi="宋体" w:cs="宋体"/>
                <w:color w:val="auto"/>
                <w:kern w:val="0"/>
                <w:sz w:val="24"/>
                <w:szCs w:val="24"/>
                <w:highlight w:val="none"/>
              </w:rPr>
            </w:pPr>
            <w:r>
              <w:rPr>
                <w:rFonts w:hint="eastAsia" w:hAnsi="宋体" w:cs="宋体"/>
                <w:color w:val="auto"/>
                <w:sz w:val="24"/>
                <w:szCs w:val="24"/>
                <w:highlight w:val="none"/>
              </w:rPr>
              <w:t>条款号</w:t>
            </w:r>
          </w:p>
        </w:tc>
        <w:tc>
          <w:tcPr>
            <w:tcW w:w="1186" w:type="dxa"/>
            <w:noWrap w:val="0"/>
            <w:vAlign w:val="center"/>
          </w:tcPr>
          <w:p>
            <w:pPr>
              <w:pStyle w:val="8"/>
              <w:jc w:val="center"/>
              <w:textAlignment w:val="baseline"/>
              <w:rPr>
                <w:rFonts w:hAnsi="宋体" w:cs="宋体"/>
                <w:color w:val="auto"/>
                <w:sz w:val="24"/>
                <w:szCs w:val="24"/>
                <w:highlight w:val="none"/>
              </w:rPr>
            </w:pPr>
            <w:r>
              <w:rPr>
                <w:rFonts w:hint="eastAsia" w:hAnsi="宋体" w:cs="宋体"/>
                <w:color w:val="auto"/>
                <w:sz w:val="24"/>
                <w:szCs w:val="24"/>
                <w:highlight w:val="none"/>
              </w:rPr>
              <w:t>评分</w:t>
            </w:r>
          </w:p>
          <w:p>
            <w:pPr>
              <w:pStyle w:val="8"/>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因素</w:t>
            </w:r>
          </w:p>
        </w:tc>
        <w:tc>
          <w:tcPr>
            <w:tcW w:w="2216" w:type="dxa"/>
            <w:noWrap w:val="0"/>
            <w:vAlign w:val="center"/>
          </w:tcPr>
          <w:p>
            <w:pPr>
              <w:adjustRightInd w:val="0"/>
              <w:snapToGrid w:val="0"/>
              <w:jc w:val="center"/>
              <w:rPr>
                <w:rFonts w:ascii="宋体" w:hAnsi="宋体" w:cs="宋体"/>
                <w:color w:val="auto"/>
                <w:sz w:val="24"/>
                <w:szCs w:val="24"/>
                <w:highlight w:val="none"/>
                <w:u w:val="single"/>
              </w:rPr>
            </w:pPr>
            <w:r>
              <w:rPr>
                <w:rFonts w:hint="eastAsia" w:ascii="宋体" w:hAnsi="宋体" w:cs="宋体"/>
                <w:color w:val="auto"/>
                <w:sz w:val="24"/>
                <w:szCs w:val="24"/>
                <w:highlight w:val="none"/>
              </w:rPr>
              <w:t>评分因素</w:t>
            </w:r>
          </w:p>
        </w:tc>
        <w:tc>
          <w:tcPr>
            <w:tcW w:w="894" w:type="dxa"/>
            <w:noWrap w:val="0"/>
            <w:vAlign w:val="center"/>
          </w:tcPr>
          <w:p>
            <w:pPr>
              <w:jc w:val="center"/>
              <w:rPr>
                <w:rFonts w:ascii="宋体" w:hAnsi="宋体" w:cs="宋体"/>
                <w:color w:val="auto"/>
                <w:sz w:val="24"/>
                <w:szCs w:val="24"/>
                <w:highlight w:val="none"/>
              </w:rPr>
            </w:pPr>
            <w:r>
              <w:rPr>
                <w:rFonts w:ascii="宋体" w:hAnsi="宋体" w:cs="宋体"/>
                <w:color w:val="auto"/>
                <w:spacing w:val="-3"/>
                <w:sz w:val="24"/>
                <w:szCs w:val="24"/>
                <w:highlight w:val="none"/>
              </w:rPr>
              <w:t>分</w:t>
            </w:r>
            <w:r>
              <w:rPr>
                <w:rFonts w:ascii="宋体" w:hAnsi="宋体" w:cs="宋体"/>
                <w:color w:val="auto"/>
                <w:spacing w:val="-2"/>
                <w:sz w:val="24"/>
                <w:szCs w:val="24"/>
                <w:highlight w:val="none"/>
              </w:rPr>
              <w:t>值</w:t>
            </w:r>
          </w:p>
        </w:tc>
        <w:tc>
          <w:tcPr>
            <w:tcW w:w="4119" w:type="dxa"/>
            <w:noWrap w:val="0"/>
            <w:vAlign w:val="center"/>
          </w:tcPr>
          <w:p>
            <w:pPr>
              <w:jc w:val="center"/>
              <w:rPr>
                <w:rFonts w:ascii="宋体" w:hAnsi="宋体" w:cs="宋体"/>
                <w:color w:val="auto"/>
                <w:spacing w:val="-3"/>
                <w:sz w:val="24"/>
                <w:szCs w:val="24"/>
                <w:highlight w:val="none"/>
              </w:rPr>
            </w:pPr>
            <w:r>
              <w:rPr>
                <w:rFonts w:ascii="宋体" w:hAnsi="宋体" w:cs="宋体"/>
                <w:color w:val="auto"/>
                <w:spacing w:val="-1"/>
                <w:sz w:val="24"/>
                <w:szCs w:val="24"/>
                <w:highlight w:val="none"/>
              </w:rPr>
              <w:t>评分</w:t>
            </w:r>
            <w:r>
              <w:rPr>
                <w:rFonts w:ascii="宋体" w:hAnsi="宋体" w:cs="宋体"/>
                <w:color w:val="auto"/>
                <w:sz w:val="24"/>
                <w:szCs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59" w:type="dxa"/>
            <w:vMerge w:val="restart"/>
            <w:noWrap w:val="0"/>
            <w:vAlign w:val="center"/>
          </w:tcPr>
          <w:p>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2.2.4</w:t>
            </w:r>
          </w:p>
          <w:p>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186" w:type="dxa"/>
            <w:vMerge w:val="restart"/>
            <w:noWrap w:val="0"/>
            <w:vAlign w:val="center"/>
          </w:tcPr>
          <w:p>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商务部分</w:t>
            </w:r>
            <w:r>
              <w:rPr>
                <w:rFonts w:hint="eastAsia" w:ascii="宋体" w:hAnsi="宋体" w:cs="宋体"/>
                <w:color w:val="auto"/>
                <w:sz w:val="24"/>
                <w:szCs w:val="24"/>
                <w:highlight w:val="none"/>
              </w:rPr>
              <w:t>（5</w:t>
            </w:r>
            <w:r>
              <w:rPr>
                <w:rFonts w:ascii="宋体" w:hAnsi="宋体" w:cs="宋体"/>
                <w:color w:val="auto"/>
                <w:sz w:val="24"/>
                <w:szCs w:val="24"/>
                <w:highlight w:val="none"/>
              </w:rPr>
              <w:t>0</w:t>
            </w:r>
            <w:r>
              <w:rPr>
                <w:rFonts w:hint="eastAsia" w:ascii="宋体" w:hAnsi="宋体" w:cs="宋体"/>
                <w:color w:val="auto"/>
                <w:sz w:val="24"/>
                <w:szCs w:val="24"/>
                <w:highlight w:val="none"/>
              </w:rPr>
              <w:t>分）</w:t>
            </w:r>
          </w:p>
        </w:tc>
        <w:tc>
          <w:tcPr>
            <w:tcW w:w="2216" w:type="dxa"/>
            <w:noWrap w:val="0"/>
            <w:vAlign w:val="center"/>
          </w:tcPr>
          <w:p>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对招标文件商务</w:t>
            </w:r>
          </w:p>
          <w:p>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条款的响应程度</w:t>
            </w:r>
          </w:p>
        </w:tc>
        <w:tc>
          <w:tcPr>
            <w:tcW w:w="894" w:type="dxa"/>
            <w:noWrap w:val="0"/>
            <w:vAlign w:val="center"/>
          </w:tcPr>
          <w:p>
            <w:pPr>
              <w:jc w:val="center"/>
              <w:rPr>
                <w:rFonts w:ascii="宋体" w:hAnsi="宋体" w:cs="宋体"/>
                <w:color w:val="auto"/>
                <w:sz w:val="24"/>
                <w:szCs w:val="24"/>
                <w:highlight w:val="none"/>
              </w:rPr>
            </w:pPr>
            <w:r>
              <w:rPr>
                <w:rFonts w:hint="eastAsia" w:ascii="宋体" w:hAnsi="宋体" w:cs="宋体"/>
                <w:color w:val="auto"/>
                <w:szCs w:val="21"/>
                <w:highlight w:val="none"/>
              </w:rPr>
              <w:t>20分</w:t>
            </w:r>
          </w:p>
        </w:tc>
        <w:tc>
          <w:tcPr>
            <w:tcW w:w="4119" w:type="dxa"/>
            <w:noWrap w:val="0"/>
            <w:vAlign w:val="center"/>
          </w:tcPr>
          <w:p>
            <w:pPr>
              <w:jc w:val="left"/>
              <w:rPr>
                <w:rFonts w:ascii="宋体" w:hAnsi="宋体" w:cs="宋体"/>
                <w:color w:val="auto"/>
                <w:sz w:val="24"/>
                <w:szCs w:val="24"/>
                <w:highlight w:val="none"/>
              </w:rPr>
            </w:pPr>
            <w:r>
              <w:rPr>
                <w:rFonts w:hint="eastAsia" w:ascii="宋体" w:hAnsi="宋体"/>
                <w:snapToGrid w:val="0"/>
                <w:color w:val="auto"/>
                <w:kern w:val="0"/>
                <w:sz w:val="24"/>
                <w:highlight w:val="none"/>
              </w:rPr>
              <w:t>一般得12.0分，良好得12.0～16.0分，优秀得16.0～20.0分。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59" w:type="dxa"/>
            <w:vMerge w:val="continue"/>
            <w:noWrap w:val="0"/>
            <w:vAlign w:val="center"/>
          </w:tcPr>
          <w:p>
            <w:pPr>
              <w:jc w:val="center"/>
              <w:rPr>
                <w:rFonts w:hint="eastAsia" w:ascii="宋体" w:hAnsi="宋体" w:cs="宋体"/>
                <w:color w:val="auto"/>
                <w:kern w:val="0"/>
                <w:sz w:val="24"/>
                <w:szCs w:val="24"/>
                <w:highlight w:val="none"/>
              </w:rPr>
            </w:pPr>
          </w:p>
        </w:tc>
        <w:tc>
          <w:tcPr>
            <w:tcW w:w="1186" w:type="dxa"/>
            <w:vMerge w:val="continue"/>
            <w:noWrap w:val="0"/>
            <w:vAlign w:val="center"/>
          </w:tcPr>
          <w:p>
            <w:pPr>
              <w:jc w:val="center"/>
              <w:rPr>
                <w:rFonts w:hint="eastAsia" w:ascii="宋体" w:hAnsi="宋体" w:cs="宋体"/>
                <w:color w:val="auto"/>
                <w:kern w:val="0"/>
                <w:sz w:val="24"/>
                <w:szCs w:val="24"/>
                <w:highlight w:val="none"/>
              </w:rPr>
            </w:pPr>
          </w:p>
        </w:tc>
        <w:tc>
          <w:tcPr>
            <w:tcW w:w="2216" w:type="dxa"/>
            <w:vMerge w:val="restart"/>
            <w:noWrap w:val="0"/>
            <w:vAlign w:val="center"/>
          </w:tcPr>
          <w:p>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业绩</w:t>
            </w:r>
          </w:p>
        </w:tc>
        <w:tc>
          <w:tcPr>
            <w:tcW w:w="894" w:type="dxa"/>
            <w:vMerge w:val="restart"/>
            <w:noWrap w:val="0"/>
            <w:vAlign w:val="center"/>
          </w:tcPr>
          <w:p>
            <w:pPr>
              <w:jc w:val="center"/>
              <w:rPr>
                <w:rFonts w:ascii="宋体" w:hAnsi="宋体" w:cs="宋体"/>
                <w:color w:val="auto"/>
                <w:sz w:val="24"/>
                <w:szCs w:val="24"/>
                <w:highlight w:val="none"/>
              </w:rPr>
            </w:pPr>
            <w:r>
              <w:rPr>
                <w:rFonts w:hint="eastAsia" w:ascii="宋体" w:hAnsi="宋体" w:cs="宋体"/>
                <w:color w:val="auto"/>
                <w:kern w:val="0"/>
                <w:sz w:val="24"/>
                <w:szCs w:val="24"/>
                <w:highlight w:val="none"/>
              </w:rPr>
              <w:t>30分</w:t>
            </w:r>
          </w:p>
        </w:tc>
        <w:tc>
          <w:tcPr>
            <w:tcW w:w="4119" w:type="dxa"/>
            <w:noWrap w:val="0"/>
            <w:vAlign w:val="center"/>
          </w:tcPr>
          <w:p>
            <w:pPr>
              <w:ind w:right="113"/>
              <w:rPr>
                <w:rFonts w:hint="eastAsia" w:ascii="宋体" w:hAnsi="宋体" w:cs="宋体"/>
                <w:color w:val="auto"/>
                <w:sz w:val="24"/>
                <w:szCs w:val="24"/>
                <w:highlight w:val="none"/>
              </w:rPr>
            </w:pPr>
            <w:r>
              <w:rPr>
                <w:rFonts w:hint="eastAsia" w:ascii="宋体" w:hAnsi="宋体" w:cs="宋体"/>
                <w:color w:val="auto"/>
                <w:sz w:val="24"/>
                <w:szCs w:val="24"/>
                <w:highlight w:val="none"/>
              </w:rPr>
              <w:t>满足资格审查条件(业绩最低要求)得18分；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59" w:type="dxa"/>
            <w:vMerge w:val="continue"/>
            <w:noWrap w:val="0"/>
            <w:vAlign w:val="center"/>
          </w:tcPr>
          <w:p>
            <w:pPr>
              <w:jc w:val="center"/>
              <w:rPr>
                <w:rFonts w:hint="eastAsia" w:ascii="宋体" w:hAnsi="宋体" w:cs="宋体"/>
                <w:color w:val="auto"/>
                <w:kern w:val="0"/>
                <w:sz w:val="24"/>
                <w:szCs w:val="24"/>
                <w:highlight w:val="none"/>
              </w:rPr>
            </w:pPr>
          </w:p>
        </w:tc>
        <w:tc>
          <w:tcPr>
            <w:tcW w:w="1186" w:type="dxa"/>
            <w:vMerge w:val="continue"/>
            <w:noWrap w:val="0"/>
            <w:vAlign w:val="center"/>
          </w:tcPr>
          <w:p>
            <w:pPr>
              <w:jc w:val="center"/>
              <w:rPr>
                <w:rFonts w:hint="eastAsia" w:ascii="宋体" w:hAnsi="宋体" w:cs="宋体"/>
                <w:color w:val="auto"/>
                <w:kern w:val="0"/>
                <w:sz w:val="24"/>
                <w:szCs w:val="24"/>
                <w:highlight w:val="none"/>
              </w:rPr>
            </w:pPr>
          </w:p>
        </w:tc>
        <w:tc>
          <w:tcPr>
            <w:tcW w:w="2216" w:type="dxa"/>
            <w:vMerge w:val="continue"/>
            <w:noWrap w:val="0"/>
            <w:vAlign w:val="center"/>
          </w:tcPr>
          <w:p>
            <w:pPr>
              <w:adjustRightInd w:val="0"/>
              <w:snapToGrid w:val="0"/>
              <w:jc w:val="center"/>
              <w:rPr>
                <w:rFonts w:hint="eastAsia" w:ascii="宋体" w:hAnsi="宋体" w:cs="宋体"/>
                <w:color w:val="auto"/>
                <w:sz w:val="24"/>
                <w:szCs w:val="24"/>
                <w:highlight w:val="none"/>
              </w:rPr>
            </w:pPr>
          </w:p>
        </w:tc>
        <w:tc>
          <w:tcPr>
            <w:tcW w:w="894" w:type="dxa"/>
            <w:vMerge w:val="continue"/>
            <w:noWrap w:val="0"/>
            <w:vAlign w:val="center"/>
          </w:tcPr>
          <w:p>
            <w:pPr>
              <w:jc w:val="center"/>
              <w:rPr>
                <w:rFonts w:hint="eastAsia" w:ascii="宋体" w:hAnsi="宋体" w:cs="宋体"/>
                <w:color w:val="auto"/>
                <w:kern w:val="0"/>
                <w:sz w:val="24"/>
                <w:szCs w:val="24"/>
                <w:highlight w:val="none"/>
              </w:rPr>
            </w:pPr>
          </w:p>
        </w:tc>
        <w:tc>
          <w:tcPr>
            <w:tcW w:w="4119" w:type="dxa"/>
            <w:noWrap w:val="0"/>
            <w:vAlign w:val="center"/>
          </w:tcPr>
          <w:p>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近5年内(2019年8月1日至今，以合同签订时间为准)，每增加</w:t>
            </w:r>
            <w:r>
              <w:rPr>
                <w:rStyle w:val="17"/>
                <w:rFonts w:hint="eastAsia" w:ascii="宋体" w:hAnsi="宋体"/>
                <w:bCs/>
                <w:snapToGrid w:val="0"/>
                <w:color w:val="auto"/>
                <w:sz w:val="24"/>
                <w:szCs w:val="24"/>
                <w:highlight w:val="none"/>
              </w:rPr>
              <w:t>1项合同额不低于700万元的高杆灯供货业绩</w:t>
            </w:r>
            <w:r>
              <w:rPr>
                <w:rFonts w:hint="eastAsia" w:ascii="宋体" w:hAnsi="宋体" w:cs="宋体"/>
                <w:color w:val="auto"/>
                <w:sz w:val="24"/>
                <w:szCs w:val="24"/>
                <w:highlight w:val="none"/>
              </w:rPr>
              <w:t>加6分，本</w:t>
            </w:r>
            <w:bookmarkStart w:id="19" w:name="_GoBack"/>
            <w:bookmarkEnd w:id="19"/>
            <w:r>
              <w:rPr>
                <w:rFonts w:hint="eastAsia" w:ascii="宋体" w:hAnsi="宋体" w:cs="宋体"/>
                <w:color w:val="auto"/>
                <w:sz w:val="24"/>
                <w:szCs w:val="24"/>
                <w:highlight w:val="none"/>
              </w:rPr>
              <w:t>项最多加12分。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restart"/>
            <w:noWrap w:val="0"/>
            <w:vAlign w:val="center"/>
          </w:tcPr>
          <w:p>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2.2.4</w:t>
            </w:r>
          </w:p>
          <w:p>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1186" w:type="dxa"/>
            <w:vMerge w:val="restart"/>
            <w:noWrap w:val="0"/>
            <w:vAlign w:val="center"/>
          </w:tcPr>
          <w:p>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技术部分</w:t>
            </w:r>
          </w:p>
          <w:p>
            <w:pPr>
              <w:pStyle w:val="5"/>
              <w:rPr>
                <w:rFonts w:hint="eastAsia"/>
                <w:color w:val="auto"/>
                <w:highlight w:val="none"/>
                <w:lang w:eastAsia="zh-CN"/>
              </w:rPr>
            </w:pPr>
            <w:r>
              <w:rPr>
                <w:rFonts w:hint="eastAsia"/>
                <w:color w:val="auto"/>
                <w:highlight w:val="none"/>
                <w:lang w:eastAsia="zh-CN"/>
              </w:rPr>
              <w:t>（5</w:t>
            </w:r>
            <w:r>
              <w:rPr>
                <w:color w:val="auto"/>
                <w:highlight w:val="none"/>
                <w:lang w:eastAsia="zh-CN"/>
              </w:rPr>
              <w:t>0</w:t>
            </w:r>
            <w:r>
              <w:rPr>
                <w:rFonts w:hint="eastAsia"/>
                <w:color w:val="auto"/>
                <w:highlight w:val="none"/>
                <w:lang w:eastAsia="zh-CN"/>
              </w:rPr>
              <w:t>分）</w:t>
            </w:r>
          </w:p>
        </w:tc>
        <w:tc>
          <w:tcPr>
            <w:tcW w:w="2216" w:type="dxa"/>
            <w:vMerge w:val="restart"/>
            <w:noWrap w:val="0"/>
            <w:vAlign w:val="center"/>
          </w:tcPr>
          <w:p>
            <w:pPr>
              <w:jc w:val="center"/>
              <w:rPr>
                <w:rFonts w:hint="eastAsia" w:eastAsia="宋体"/>
                <w:color w:val="auto"/>
                <w:highlight w:val="none"/>
                <w:lang w:eastAsia="zh-CN"/>
              </w:rPr>
            </w:pPr>
            <w:r>
              <w:rPr>
                <w:rFonts w:hint="eastAsia"/>
                <w:color w:val="auto"/>
                <w:highlight w:val="none"/>
              </w:rPr>
              <w:t>投标设备技术性能指标的响应程度</w:t>
            </w:r>
          </w:p>
        </w:tc>
        <w:tc>
          <w:tcPr>
            <w:tcW w:w="894" w:type="dxa"/>
            <w:vMerge w:val="restart"/>
            <w:noWrap w:val="0"/>
            <w:vAlign w:val="center"/>
          </w:tcPr>
          <w:p>
            <w:pPr>
              <w:jc w:val="center"/>
              <w:rPr>
                <w:rFonts w:ascii="宋体" w:hAnsi="宋体" w:cs="宋体"/>
                <w:color w:val="auto"/>
                <w:sz w:val="24"/>
                <w:szCs w:val="24"/>
                <w:highlight w:val="none"/>
              </w:rPr>
            </w:pP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分</w:t>
            </w:r>
          </w:p>
        </w:tc>
        <w:tc>
          <w:tcPr>
            <w:tcW w:w="4119" w:type="dxa"/>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能完全响应招标文件对投标设备技术性能指标要求，得8.</w:t>
            </w:r>
            <w:r>
              <w:rPr>
                <w:rFonts w:ascii="宋体" w:hAnsi="宋体" w:cs="宋体"/>
                <w:color w:val="auto"/>
                <w:sz w:val="24"/>
                <w:szCs w:val="24"/>
                <w:highlight w:val="none"/>
              </w:rPr>
              <w:t>1</w:t>
            </w:r>
            <w:r>
              <w:rPr>
                <w:rFonts w:hint="eastAsia" w:ascii="宋体" w:hAnsi="宋体" w:cs="宋体"/>
                <w:color w:val="auto"/>
                <w:sz w:val="24"/>
                <w:szCs w:val="24"/>
                <w:highlight w:val="none"/>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continue"/>
            <w:noWrap w:val="0"/>
            <w:vAlign w:val="center"/>
          </w:tcPr>
          <w:p>
            <w:pPr>
              <w:jc w:val="center"/>
              <w:rPr>
                <w:rFonts w:hint="eastAsia" w:ascii="宋体" w:hAnsi="宋体" w:cs="宋体"/>
                <w:color w:val="auto"/>
                <w:kern w:val="0"/>
                <w:sz w:val="24"/>
                <w:szCs w:val="24"/>
                <w:highlight w:val="none"/>
              </w:rPr>
            </w:pPr>
          </w:p>
        </w:tc>
        <w:tc>
          <w:tcPr>
            <w:tcW w:w="1186" w:type="dxa"/>
            <w:vMerge w:val="continue"/>
            <w:noWrap w:val="0"/>
            <w:vAlign w:val="center"/>
          </w:tcPr>
          <w:p>
            <w:pPr>
              <w:jc w:val="center"/>
              <w:rPr>
                <w:rFonts w:hint="eastAsia" w:ascii="宋体" w:hAnsi="宋体" w:cs="宋体"/>
                <w:color w:val="auto"/>
                <w:kern w:val="0"/>
                <w:sz w:val="24"/>
                <w:szCs w:val="24"/>
                <w:highlight w:val="none"/>
              </w:rPr>
            </w:pPr>
          </w:p>
        </w:tc>
        <w:tc>
          <w:tcPr>
            <w:tcW w:w="2216" w:type="dxa"/>
            <w:vMerge w:val="continue"/>
            <w:noWrap w:val="0"/>
            <w:vAlign w:val="center"/>
          </w:tcPr>
          <w:p>
            <w:pPr>
              <w:jc w:val="center"/>
              <w:rPr>
                <w:rFonts w:hint="eastAsia" w:ascii="宋体" w:hAnsi="宋体" w:cs="宋体"/>
                <w:color w:val="auto"/>
                <w:sz w:val="24"/>
                <w:szCs w:val="24"/>
                <w:highlight w:val="none"/>
              </w:rPr>
            </w:pPr>
          </w:p>
        </w:tc>
        <w:tc>
          <w:tcPr>
            <w:tcW w:w="894" w:type="dxa"/>
            <w:vMerge w:val="continue"/>
            <w:noWrap w:val="0"/>
            <w:vAlign w:val="center"/>
          </w:tcPr>
          <w:p>
            <w:pPr>
              <w:jc w:val="center"/>
              <w:rPr>
                <w:rFonts w:ascii="宋体" w:hAnsi="宋体" w:cs="宋体"/>
                <w:color w:val="auto"/>
                <w:kern w:val="0"/>
                <w:sz w:val="24"/>
                <w:szCs w:val="24"/>
                <w:highlight w:val="none"/>
              </w:rPr>
            </w:pPr>
          </w:p>
        </w:tc>
        <w:tc>
          <w:tcPr>
            <w:tcW w:w="4119" w:type="dxa"/>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能较好的响应招标文件对投标设备技术性能指标要求，得6.</w:t>
            </w:r>
            <w:r>
              <w:rPr>
                <w:rFonts w:ascii="宋体" w:hAnsi="宋体" w:cs="宋体"/>
                <w:color w:val="auto"/>
                <w:sz w:val="24"/>
                <w:szCs w:val="24"/>
                <w:highlight w:val="none"/>
              </w:rPr>
              <w:t>1</w:t>
            </w:r>
            <w:r>
              <w:rPr>
                <w:rFonts w:hint="eastAsia" w:ascii="宋体" w:hAnsi="宋体" w:cs="宋体"/>
                <w:color w:val="auto"/>
                <w:sz w:val="24"/>
                <w:szCs w:val="24"/>
                <w:highlight w:val="none"/>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continue"/>
            <w:noWrap w:val="0"/>
            <w:vAlign w:val="center"/>
          </w:tcPr>
          <w:p>
            <w:pPr>
              <w:jc w:val="center"/>
              <w:rPr>
                <w:rFonts w:hint="eastAsia" w:ascii="宋体" w:hAnsi="宋体" w:cs="宋体"/>
                <w:color w:val="auto"/>
                <w:kern w:val="0"/>
                <w:sz w:val="24"/>
                <w:szCs w:val="24"/>
                <w:highlight w:val="none"/>
              </w:rPr>
            </w:pPr>
          </w:p>
        </w:tc>
        <w:tc>
          <w:tcPr>
            <w:tcW w:w="1186" w:type="dxa"/>
            <w:vMerge w:val="continue"/>
            <w:noWrap w:val="0"/>
            <w:vAlign w:val="center"/>
          </w:tcPr>
          <w:p>
            <w:pPr>
              <w:jc w:val="center"/>
              <w:rPr>
                <w:rFonts w:hint="eastAsia" w:ascii="宋体" w:hAnsi="宋体" w:cs="宋体"/>
                <w:color w:val="auto"/>
                <w:kern w:val="0"/>
                <w:sz w:val="24"/>
                <w:szCs w:val="24"/>
                <w:highlight w:val="none"/>
              </w:rPr>
            </w:pPr>
          </w:p>
        </w:tc>
        <w:tc>
          <w:tcPr>
            <w:tcW w:w="2216" w:type="dxa"/>
            <w:vMerge w:val="continue"/>
            <w:noWrap w:val="0"/>
            <w:vAlign w:val="center"/>
          </w:tcPr>
          <w:p>
            <w:pPr>
              <w:jc w:val="center"/>
              <w:rPr>
                <w:rFonts w:hint="eastAsia" w:ascii="宋体" w:hAnsi="宋体" w:cs="宋体"/>
                <w:color w:val="auto"/>
                <w:sz w:val="24"/>
                <w:szCs w:val="24"/>
                <w:highlight w:val="none"/>
              </w:rPr>
            </w:pPr>
          </w:p>
        </w:tc>
        <w:tc>
          <w:tcPr>
            <w:tcW w:w="894" w:type="dxa"/>
            <w:vMerge w:val="continue"/>
            <w:noWrap w:val="0"/>
            <w:vAlign w:val="center"/>
          </w:tcPr>
          <w:p>
            <w:pPr>
              <w:jc w:val="center"/>
              <w:rPr>
                <w:rFonts w:ascii="宋体" w:hAnsi="宋体" w:cs="宋体"/>
                <w:color w:val="auto"/>
                <w:kern w:val="0"/>
                <w:sz w:val="24"/>
                <w:szCs w:val="24"/>
                <w:highlight w:val="none"/>
              </w:rPr>
            </w:pPr>
          </w:p>
        </w:tc>
        <w:tc>
          <w:tcPr>
            <w:tcW w:w="4119" w:type="dxa"/>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能基本响应招标文件对投标设备技术性能指标要求，得</w:t>
            </w:r>
            <w:r>
              <w:rPr>
                <w:rFonts w:ascii="宋体" w:hAnsi="宋体" w:cs="宋体"/>
                <w:color w:val="auto"/>
                <w:sz w:val="24"/>
                <w:szCs w:val="24"/>
                <w:highlight w:val="none"/>
              </w:rPr>
              <w:t>6.0</w:t>
            </w:r>
            <w:r>
              <w:rPr>
                <w:rFonts w:hint="eastAsia" w:ascii="宋体" w:hAnsi="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9" w:type="dxa"/>
            <w:vMerge w:val="continue"/>
            <w:noWrap w:val="0"/>
            <w:vAlign w:val="center"/>
          </w:tcPr>
          <w:p>
            <w:pPr>
              <w:jc w:val="center"/>
              <w:rPr>
                <w:rFonts w:hint="eastAsia" w:ascii="宋体" w:hAnsi="宋体" w:cs="宋体"/>
                <w:color w:val="auto"/>
                <w:kern w:val="0"/>
                <w:sz w:val="24"/>
                <w:szCs w:val="24"/>
                <w:highlight w:val="none"/>
              </w:rPr>
            </w:pPr>
          </w:p>
        </w:tc>
        <w:tc>
          <w:tcPr>
            <w:tcW w:w="1186" w:type="dxa"/>
            <w:vMerge w:val="continue"/>
            <w:noWrap w:val="0"/>
            <w:vAlign w:val="center"/>
          </w:tcPr>
          <w:p>
            <w:pPr>
              <w:jc w:val="center"/>
              <w:rPr>
                <w:rFonts w:hint="eastAsia" w:ascii="宋体" w:hAnsi="宋体" w:cs="宋体"/>
                <w:color w:val="auto"/>
                <w:kern w:val="0"/>
                <w:sz w:val="24"/>
                <w:szCs w:val="24"/>
                <w:highlight w:val="none"/>
              </w:rPr>
            </w:pPr>
          </w:p>
        </w:tc>
        <w:tc>
          <w:tcPr>
            <w:tcW w:w="2216" w:type="dxa"/>
            <w:vMerge w:val="restart"/>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对投标设备整体</w:t>
            </w:r>
          </w:p>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评价</w:t>
            </w:r>
          </w:p>
        </w:tc>
        <w:tc>
          <w:tcPr>
            <w:tcW w:w="894" w:type="dxa"/>
            <w:vMerge w:val="restart"/>
            <w:noWrap w:val="0"/>
            <w:vAlign w:val="center"/>
          </w:tcPr>
          <w:p>
            <w:pPr>
              <w:jc w:val="center"/>
              <w:rPr>
                <w:rFonts w:hint="eastAsia" w:ascii="宋体" w:hAnsi="宋体" w:cs="宋体"/>
                <w:color w:val="auto"/>
                <w:kern w:val="0"/>
                <w:sz w:val="24"/>
                <w:szCs w:val="24"/>
                <w:highlight w:val="none"/>
                <w:u w:val="single"/>
              </w:rPr>
            </w:pP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分</w:t>
            </w:r>
          </w:p>
        </w:tc>
        <w:tc>
          <w:tcPr>
            <w:tcW w:w="4119" w:type="dxa"/>
            <w:noWrap w:val="0"/>
            <w:vAlign w:val="center"/>
          </w:tcPr>
          <w:p>
            <w:pPr>
              <w:ind w:right="113"/>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完全满足招标文件要求，设备整体性能优越，得16.</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ascii="宋体" w:hAnsi="宋体" w:cs="宋体"/>
                <w:color w:val="auto"/>
                <w:sz w:val="24"/>
                <w:szCs w:val="24"/>
                <w:highlight w:val="none"/>
              </w:rPr>
              <w:t>20</w:t>
            </w:r>
            <w:r>
              <w:rPr>
                <w:rFonts w:hint="eastAsia" w:ascii="宋体" w:hAnsi="宋体" w:cs="宋体"/>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59" w:type="dxa"/>
            <w:vMerge w:val="continue"/>
            <w:noWrap w:val="0"/>
            <w:vAlign w:val="center"/>
          </w:tcPr>
          <w:p>
            <w:pPr>
              <w:jc w:val="center"/>
              <w:rPr>
                <w:rFonts w:hint="eastAsia" w:ascii="宋体" w:hAnsi="宋体" w:cs="宋体"/>
                <w:color w:val="auto"/>
                <w:kern w:val="0"/>
                <w:sz w:val="24"/>
                <w:szCs w:val="24"/>
                <w:highlight w:val="none"/>
              </w:rPr>
            </w:pPr>
          </w:p>
        </w:tc>
        <w:tc>
          <w:tcPr>
            <w:tcW w:w="1186" w:type="dxa"/>
            <w:vMerge w:val="continue"/>
            <w:noWrap w:val="0"/>
            <w:vAlign w:val="center"/>
          </w:tcPr>
          <w:p>
            <w:pPr>
              <w:jc w:val="center"/>
              <w:rPr>
                <w:rFonts w:hint="eastAsia" w:ascii="宋体" w:hAnsi="宋体" w:cs="宋体"/>
                <w:color w:val="auto"/>
                <w:kern w:val="0"/>
                <w:sz w:val="24"/>
                <w:szCs w:val="24"/>
                <w:highlight w:val="none"/>
              </w:rPr>
            </w:pPr>
          </w:p>
        </w:tc>
        <w:tc>
          <w:tcPr>
            <w:tcW w:w="2216" w:type="dxa"/>
            <w:vMerge w:val="continue"/>
            <w:noWrap w:val="0"/>
            <w:vAlign w:val="center"/>
          </w:tcPr>
          <w:p>
            <w:pPr>
              <w:jc w:val="center"/>
              <w:rPr>
                <w:rFonts w:hint="eastAsia" w:ascii="宋体" w:hAnsi="宋体" w:cs="宋体"/>
                <w:color w:val="auto"/>
                <w:sz w:val="24"/>
                <w:szCs w:val="24"/>
                <w:highlight w:val="none"/>
              </w:rPr>
            </w:pPr>
          </w:p>
        </w:tc>
        <w:tc>
          <w:tcPr>
            <w:tcW w:w="894" w:type="dxa"/>
            <w:vMerge w:val="continue"/>
            <w:noWrap w:val="0"/>
            <w:vAlign w:val="center"/>
          </w:tcPr>
          <w:p>
            <w:pPr>
              <w:jc w:val="center"/>
              <w:rPr>
                <w:rFonts w:ascii="宋体" w:hAnsi="宋体" w:cs="宋体"/>
                <w:color w:val="auto"/>
                <w:kern w:val="0"/>
                <w:sz w:val="24"/>
                <w:szCs w:val="24"/>
                <w:highlight w:val="none"/>
                <w:u w:val="single"/>
              </w:rPr>
            </w:pPr>
          </w:p>
        </w:tc>
        <w:tc>
          <w:tcPr>
            <w:tcW w:w="4119" w:type="dxa"/>
            <w:noWrap w:val="0"/>
            <w:vAlign w:val="center"/>
          </w:tcPr>
          <w:p>
            <w:pPr>
              <w:ind w:right="113"/>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较好满足招标文件要求，设备整体性能较好，得</w:t>
            </w:r>
            <w:r>
              <w:rPr>
                <w:rFonts w:ascii="宋体" w:hAnsi="宋体" w:cs="宋体"/>
                <w:color w:val="auto"/>
                <w:sz w:val="24"/>
                <w:szCs w:val="24"/>
                <w:highlight w:val="none"/>
              </w:rPr>
              <w:t>12</w:t>
            </w: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ascii="宋体" w:hAnsi="宋体" w:cs="宋体"/>
                <w:color w:val="auto"/>
                <w:sz w:val="24"/>
                <w:szCs w:val="24"/>
                <w:highlight w:val="none"/>
              </w:rPr>
              <w:t>16</w:t>
            </w:r>
            <w:r>
              <w:rPr>
                <w:rFonts w:hint="eastAsia" w:ascii="宋体" w:hAnsi="宋体" w:cs="宋体"/>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pPr>
              <w:jc w:val="center"/>
              <w:rPr>
                <w:rFonts w:hint="eastAsia" w:ascii="宋体" w:hAnsi="宋体" w:cs="宋体"/>
                <w:color w:val="auto"/>
                <w:kern w:val="0"/>
                <w:sz w:val="24"/>
                <w:szCs w:val="24"/>
                <w:highlight w:val="none"/>
              </w:rPr>
            </w:pPr>
          </w:p>
        </w:tc>
        <w:tc>
          <w:tcPr>
            <w:tcW w:w="1186" w:type="dxa"/>
            <w:vMerge w:val="continue"/>
            <w:noWrap w:val="0"/>
            <w:vAlign w:val="center"/>
          </w:tcPr>
          <w:p>
            <w:pPr>
              <w:jc w:val="center"/>
              <w:rPr>
                <w:rFonts w:hint="eastAsia" w:ascii="宋体" w:hAnsi="宋体" w:cs="宋体"/>
                <w:color w:val="auto"/>
                <w:kern w:val="0"/>
                <w:sz w:val="24"/>
                <w:szCs w:val="24"/>
                <w:highlight w:val="none"/>
              </w:rPr>
            </w:pPr>
          </w:p>
        </w:tc>
        <w:tc>
          <w:tcPr>
            <w:tcW w:w="2216" w:type="dxa"/>
            <w:vMerge w:val="continue"/>
            <w:noWrap w:val="0"/>
            <w:vAlign w:val="center"/>
          </w:tcPr>
          <w:p>
            <w:pPr>
              <w:jc w:val="center"/>
              <w:rPr>
                <w:rFonts w:hint="eastAsia" w:ascii="宋体" w:hAnsi="宋体" w:cs="宋体"/>
                <w:color w:val="auto"/>
                <w:sz w:val="24"/>
                <w:szCs w:val="24"/>
                <w:highlight w:val="none"/>
              </w:rPr>
            </w:pPr>
          </w:p>
        </w:tc>
        <w:tc>
          <w:tcPr>
            <w:tcW w:w="894" w:type="dxa"/>
            <w:vMerge w:val="continue"/>
            <w:noWrap w:val="0"/>
            <w:vAlign w:val="center"/>
          </w:tcPr>
          <w:p>
            <w:pPr>
              <w:jc w:val="center"/>
              <w:rPr>
                <w:rFonts w:ascii="宋体" w:hAnsi="宋体" w:cs="宋体"/>
                <w:color w:val="auto"/>
                <w:kern w:val="0"/>
                <w:sz w:val="24"/>
                <w:szCs w:val="24"/>
                <w:highlight w:val="none"/>
                <w:u w:val="single"/>
              </w:rPr>
            </w:pPr>
          </w:p>
        </w:tc>
        <w:tc>
          <w:tcPr>
            <w:tcW w:w="4119" w:type="dxa"/>
            <w:noWrap w:val="0"/>
            <w:vAlign w:val="center"/>
          </w:tcPr>
          <w:p>
            <w:pPr>
              <w:ind w:right="113"/>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一般满足招标文件要求，设备整体性能一般，得</w:t>
            </w:r>
            <w:r>
              <w:rPr>
                <w:rFonts w:ascii="宋体" w:hAnsi="宋体" w:cs="宋体"/>
                <w:color w:val="auto"/>
                <w:sz w:val="24"/>
                <w:szCs w:val="24"/>
                <w:highlight w:val="none"/>
              </w:rPr>
              <w:t>12</w:t>
            </w:r>
            <w:r>
              <w:rPr>
                <w:rFonts w:hint="eastAsia" w:ascii="宋体" w:hAnsi="宋体" w:cs="宋体"/>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pPr>
              <w:jc w:val="center"/>
              <w:rPr>
                <w:rFonts w:hint="eastAsia" w:ascii="宋体" w:hAnsi="宋体" w:cs="宋体"/>
                <w:color w:val="auto"/>
                <w:kern w:val="0"/>
                <w:sz w:val="24"/>
                <w:szCs w:val="24"/>
                <w:highlight w:val="none"/>
              </w:rPr>
            </w:pPr>
          </w:p>
        </w:tc>
        <w:tc>
          <w:tcPr>
            <w:tcW w:w="1186" w:type="dxa"/>
            <w:vMerge w:val="continue"/>
            <w:noWrap w:val="0"/>
            <w:vAlign w:val="center"/>
          </w:tcPr>
          <w:p>
            <w:pPr>
              <w:jc w:val="center"/>
              <w:rPr>
                <w:rFonts w:hint="eastAsia" w:ascii="宋体" w:hAnsi="宋体" w:cs="宋体"/>
                <w:color w:val="auto"/>
                <w:kern w:val="0"/>
                <w:sz w:val="24"/>
                <w:szCs w:val="24"/>
                <w:highlight w:val="none"/>
              </w:rPr>
            </w:pPr>
          </w:p>
        </w:tc>
        <w:tc>
          <w:tcPr>
            <w:tcW w:w="2216" w:type="dxa"/>
            <w:vMerge w:val="restart"/>
            <w:noWrap w:val="0"/>
            <w:vAlign w:val="center"/>
          </w:tcPr>
          <w:p>
            <w:pPr>
              <w:ind w:right="1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投标设备生产和供货方案的评价</w:t>
            </w:r>
          </w:p>
        </w:tc>
        <w:tc>
          <w:tcPr>
            <w:tcW w:w="894" w:type="dxa"/>
            <w:vMerge w:val="restart"/>
            <w:noWrap w:val="0"/>
            <w:vAlign w:val="center"/>
          </w:tcPr>
          <w:p>
            <w:pPr>
              <w:ind w:right="1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4119" w:type="dxa"/>
            <w:noWrap w:val="0"/>
            <w:vAlign w:val="top"/>
          </w:tcPr>
          <w:p>
            <w:pPr>
              <w:ind w:right="1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投标人提供的供货方案切实可行、供货能力强、交货进度有保障、能够保质保量的完成供货，针对供货过程中的特殊情况有预案，得8</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pPr>
              <w:jc w:val="center"/>
              <w:rPr>
                <w:rFonts w:hint="eastAsia" w:ascii="宋体" w:hAnsi="宋体" w:cs="宋体"/>
                <w:color w:val="auto"/>
                <w:kern w:val="0"/>
                <w:sz w:val="24"/>
                <w:szCs w:val="24"/>
                <w:highlight w:val="none"/>
              </w:rPr>
            </w:pPr>
          </w:p>
        </w:tc>
        <w:tc>
          <w:tcPr>
            <w:tcW w:w="1186" w:type="dxa"/>
            <w:vMerge w:val="continue"/>
            <w:noWrap w:val="0"/>
            <w:vAlign w:val="center"/>
          </w:tcPr>
          <w:p>
            <w:pPr>
              <w:jc w:val="center"/>
              <w:rPr>
                <w:rFonts w:hint="eastAsia" w:ascii="宋体" w:hAnsi="宋体" w:cs="宋体"/>
                <w:color w:val="auto"/>
                <w:kern w:val="0"/>
                <w:sz w:val="24"/>
                <w:szCs w:val="24"/>
                <w:highlight w:val="none"/>
              </w:rPr>
            </w:pPr>
          </w:p>
        </w:tc>
        <w:tc>
          <w:tcPr>
            <w:tcW w:w="2216" w:type="dxa"/>
            <w:vMerge w:val="continue"/>
            <w:noWrap w:val="0"/>
            <w:vAlign w:val="center"/>
          </w:tcPr>
          <w:p>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pPr>
              <w:ind w:right="113"/>
              <w:jc w:val="left"/>
              <w:rPr>
                <w:rFonts w:hint="eastAsia" w:ascii="宋体" w:hAnsi="宋体" w:eastAsia="宋体" w:cs="宋体"/>
                <w:color w:val="auto"/>
                <w:sz w:val="24"/>
                <w:szCs w:val="24"/>
                <w:highlight w:val="none"/>
              </w:rPr>
            </w:pPr>
          </w:p>
        </w:tc>
        <w:tc>
          <w:tcPr>
            <w:tcW w:w="4119" w:type="dxa"/>
            <w:noWrap w:val="0"/>
            <w:vAlign w:val="center"/>
          </w:tcPr>
          <w:p>
            <w:pPr>
              <w:ind w:right="1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投标人提供的供货方案可行、供货能力较强、交货进度满足招标文件要求，得6</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pPr>
              <w:jc w:val="center"/>
              <w:rPr>
                <w:rFonts w:hint="eastAsia" w:ascii="宋体" w:hAnsi="宋体" w:cs="宋体"/>
                <w:color w:val="auto"/>
                <w:kern w:val="0"/>
                <w:sz w:val="24"/>
                <w:szCs w:val="24"/>
                <w:highlight w:val="none"/>
              </w:rPr>
            </w:pPr>
          </w:p>
        </w:tc>
        <w:tc>
          <w:tcPr>
            <w:tcW w:w="1186" w:type="dxa"/>
            <w:vMerge w:val="continue"/>
            <w:noWrap w:val="0"/>
            <w:vAlign w:val="center"/>
          </w:tcPr>
          <w:p>
            <w:pPr>
              <w:jc w:val="center"/>
              <w:rPr>
                <w:rFonts w:hint="eastAsia" w:ascii="宋体" w:hAnsi="宋体" w:cs="宋体"/>
                <w:color w:val="auto"/>
                <w:kern w:val="0"/>
                <w:sz w:val="24"/>
                <w:szCs w:val="24"/>
                <w:highlight w:val="none"/>
              </w:rPr>
            </w:pPr>
          </w:p>
        </w:tc>
        <w:tc>
          <w:tcPr>
            <w:tcW w:w="2216" w:type="dxa"/>
            <w:vMerge w:val="continue"/>
            <w:noWrap w:val="0"/>
            <w:vAlign w:val="center"/>
          </w:tcPr>
          <w:p>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pPr>
              <w:ind w:right="113"/>
              <w:jc w:val="left"/>
              <w:rPr>
                <w:rFonts w:hint="eastAsia" w:ascii="宋体" w:hAnsi="宋体" w:eastAsia="宋体" w:cs="宋体"/>
                <w:color w:val="auto"/>
                <w:sz w:val="24"/>
                <w:szCs w:val="24"/>
                <w:highlight w:val="none"/>
              </w:rPr>
            </w:pPr>
          </w:p>
        </w:tc>
        <w:tc>
          <w:tcPr>
            <w:tcW w:w="4119" w:type="dxa"/>
            <w:noWrap w:val="0"/>
            <w:vAlign w:val="center"/>
          </w:tcPr>
          <w:p>
            <w:pPr>
              <w:ind w:right="1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投标人提供的供货方案一般、供货能力一般、交货进度基本满足招标文件要求，得6分。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9" w:type="dxa"/>
            <w:vMerge w:val="continue"/>
            <w:noWrap w:val="0"/>
            <w:vAlign w:val="center"/>
          </w:tcPr>
          <w:p>
            <w:pPr>
              <w:jc w:val="center"/>
              <w:rPr>
                <w:rFonts w:hint="eastAsia" w:ascii="宋体" w:hAnsi="宋体" w:cs="宋体"/>
                <w:color w:val="auto"/>
                <w:kern w:val="0"/>
                <w:sz w:val="24"/>
                <w:szCs w:val="24"/>
                <w:highlight w:val="none"/>
              </w:rPr>
            </w:pPr>
          </w:p>
        </w:tc>
        <w:tc>
          <w:tcPr>
            <w:tcW w:w="1186" w:type="dxa"/>
            <w:vMerge w:val="continue"/>
            <w:noWrap w:val="0"/>
            <w:vAlign w:val="center"/>
          </w:tcPr>
          <w:p>
            <w:pPr>
              <w:jc w:val="center"/>
              <w:rPr>
                <w:rFonts w:hint="eastAsia" w:ascii="宋体" w:hAnsi="宋体" w:cs="宋体"/>
                <w:color w:val="auto"/>
                <w:kern w:val="0"/>
                <w:sz w:val="24"/>
                <w:szCs w:val="24"/>
                <w:highlight w:val="none"/>
              </w:rPr>
            </w:pPr>
          </w:p>
        </w:tc>
        <w:tc>
          <w:tcPr>
            <w:tcW w:w="2216" w:type="dxa"/>
            <w:vMerge w:val="restart"/>
            <w:noWrap w:val="0"/>
            <w:vAlign w:val="center"/>
          </w:tcPr>
          <w:p>
            <w:pPr>
              <w:ind w:right="1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对投标人技术服务和质保期服务能力的评价</w:t>
            </w:r>
          </w:p>
        </w:tc>
        <w:tc>
          <w:tcPr>
            <w:tcW w:w="894" w:type="dxa"/>
            <w:vMerge w:val="restart"/>
            <w:noWrap w:val="0"/>
            <w:vAlign w:val="center"/>
          </w:tcPr>
          <w:p>
            <w:pPr>
              <w:ind w:right="1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4119" w:type="dxa"/>
            <w:noWrap w:val="0"/>
            <w:vAlign w:val="center"/>
          </w:tcPr>
          <w:p>
            <w:pPr>
              <w:ind w:right="1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维护保障实施能力强，能够提供有效、稳定、可靠的维修、保养服务，售后服务体系完善且能够很好的服务招标人，得8</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59" w:type="dxa"/>
            <w:vMerge w:val="continue"/>
            <w:noWrap w:val="0"/>
            <w:vAlign w:val="center"/>
          </w:tcPr>
          <w:p>
            <w:pPr>
              <w:jc w:val="center"/>
              <w:rPr>
                <w:rFonts w:hint="eastAsia" w:ascii="宋体" w:hAnsi="宋体" w:cs="宋体"/>
                <w:color w:val="auto"/>
                <w:kern w:val="0"/>
                <w:sz w:val="24"/>
                <w:szCs w:val="24"/>
                <w:highlight w:val="none"/>
              </w:rPr>
            </w:pPr>
          </w:p>
        </w:tc>
        <w:tc>
          <w:tcPr>
            <w:tcW w:w="1186" w:type="dxa"/>
            <w:vMerge w:val="continue"/>
            <w:noWrap w:val="0"/>
            <w:vAlign w:val="center"/>
          </w:tcPr>
          <w:p>
            <w:pPr>
              <w:jc w:val="center"/>
              <w:rPr>
                <w:rFonts w:hint="eastAsia" w:ascii="宋体" w:hAnsi="宋体" w:cs="宋体"/>
                <w:color w:val="auto"/>
                <w:kern w:val="0"/>
                <w:sz w:val="24"/>
                <w:szCs w:val="24"/>
                <w:highlight w:val="none"/>
              </w:rPr>
            </w:pPr>
          </w:p>
        </w:tc>
        <w:tc>
          <w:tcPr>
            <w:tcW w:w="2216" w:type="dxa"/>
            <w:vMerge w:val="continue"/>
            <w:noWrap w:val="0"/>
            <w:vAlign w:val="center"/>
          </w:tcPr>
          <w:p>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pPr>
              <w:ind w:right="113"/>
              <w:jc w:val="left"/>
              <w:rPr>
                <w:rFonts w:hint="eastAsia" w:ascii="宋体" w:hAnsi="宋体" w:eastAsia="宋体" w:cs="宋体"/>
                <w:color w:val="auto"/>
                <w:sz w:val="24"/>
                <w:szCs w:val="24"/>
                <w:highlight w:val="none"/>
              </w:rPr>
            </w:pPr>
          </w:p>
        </w:tc>
        <w:tc>
          <w:tcPr>
            <w:tcW w:w="4119" w:type="dxa"/>
            <w:noWrap w:val="0"/>
            <w:vAlign w:val="center"/>
          </w:tcPr>
          <w:p>
            <w:pPr>
              <w:ind w:right="1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维护保障实施能力较强，能够提供比较有效、稳定、可靠的维修、保养服务，售后服务体系较完善，能较好的服务招标人，得6</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9" w:type="dxa"/>
            <w:vMerge w:val="continue"/>
            <w:noWrap w:val="0"/>
            <w:vAlign w:val="center"/>
          </w:tcPr>
          <w:p>
            <w:pPr>
              <w:jc w:val="center"/>
              <w:rPr>
                <w:rFonts w:hint="eastAsia" w:ascii="宋体" w:hAnsi="宋体" w:cs="宋体"/>
                <w:color w:val="auto"/>
                <w:kern w:val="0"/>
                <w:sz w:val="24"/>
                <w:szCs w:val="24"/>
                <w:highlight w:val="none"/>
              </w:rPr>
            </w:pPr>
          </w:p>
        </w:tc>
        <w:tc>
          <w:tcPr>
            <w:tcW w:w="1186" w:type="dxa"/>
            <w:vMerge w:val="continue"/>
            <w:noWrap w:val="0"/>
            <w:vAlign w:val="center"/>
          </w:tcPr>
          <w:p>
            <w:pPr>
              <w:jc w:val="center"/>
              <w:rPr>
                <w:rFonts w:hint="eastAsia" w:ascii="宋体" w:hAnsi="宋体" w:cs="宋体"/>
                <w:color w:val="auto"/>
                <w:kern w:val="0"/>
                <w:sz w:val="24"/>
                <w:szCs w:val="24"/>
                <w:highlight w:val="none"/>
              </w:rPr>
            </w:pPr>
          </w:p>
        </w:tc>
        <w:tc>
          <w:tcPr>
            <w:tcW w:w="2216" w:type="dxa"/>
            <w:vMerge w:val="continue"/>
            <w:noWrap w:val="0"/>
            <w:vAlign w:val="center"/>
          </w:tcPr>
          <w:p>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pPr>
              <w:ind w:right="113"/>
              <w:jc w:val="left"/>
              <w:rPr>
                <w:rFonts w:hint="eastAsia" w:ascii="宋体" w:hAnsi="宋体" w:eastAsia="宋体" w:cs="宋体"/>
                <w:color w:val="auto"/>
                <w:sz w:val="24"/>
                <w:szCs w:val="24"/>
                <w:highlight w:val="none"/>
              </w:rPr>
            </w:pPr>
          </w:p>
        </w:tc>
        <w:tc>
          <w:tcPr>
            <w:tcW w:w="4119" w:type="dxa"/>
            <w:noWrap w:val="0"/>
            <w:vAlign w:val="center"/>
          </w:tcPr>
          <w:p>
            <w:pPr>
              <w:ind w:right="11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维护保障实施能力一般，能够提供基本的维修、保养服务得6分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9" w:type="dxa"/>
            <w:tcBorders>
              <w:bottom w:val="single" w:color="auto" w:sz="4" w:space="0"/>
            </w:tcBorders>
            <w:noWrap w:val="0"/>
            <w:vAlign w:val="center"/>
          </w:tcPr>
          <w:p>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2.2.4</w:t>
            </w:r>
          </w:p>
          <w:p>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186" w:type="dxa"/>
            <w:tcBorders>
              <w:bottom w:val="single" w:color="auto" w:sz="4" w:space="0"/>
            </w:tcBorders>
            <w:noWrap w:val="0"/>
            <w:vAlign w:val="center"/>
          </w:tcPr>
          <w:p>
            <w:pPr>
              <w:ind w:left="144" w:hanging="144" w:hangingChars="6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其他因素</w:t>
            </w:r>
          </w:p>
        </w:tc>
        <w:tc>
          <w:tcPr>
            <w:tcW w:w="7229" w:type="dxa"/>
            <w:gridSpan w:val="3"/>
            <w:tcBorders>
              <w:bottom w:val="single" w:color="auto" w:sz="4" w:space="0"/>
            </w:tcBorders>
            <w:noWrap w:val="0"/>
            <w:vAlign w:val="center"/>
          </w:tcPr>
          <w:p>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无</w:t>
            </w:r>
          </w:p>
        </w:tc>
      </w:tr>
    </w:tbl>
    <w:p>
      <w:pPr>
        <w:pStyle w:val="8"/>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注：</w:t>
      </w:r>
    </w:p>
    <w:p>
      <w:pPr>
        <w:pStyle w:val="8"/>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1、评委打分保留1位小数</w:t>
      </w:r>
      <w:r>
        <w:rPr>
          <w:rFonts w:hint="eastAsia" w:hAnsi="宋体"/>
          <w:snapToGrid w:val="0"/>
          <w:color w:val="auto"/>
          <w:kern w:val="0"/>
          <w:sz w:val="24"/>
          <w:szCs w:val="24"/>
          <w:highlight w:val="none"/>
        </w:rPr>
        <w:t>，各评分因素得分应以评标委员会各成员的打分平均值确定，保留两位小数，第三位四舍五入。</w:t>
      </w:r>
    </w:p>
    <w:p>
      <w:pPr>
        <w:pStyle w:val="8"/>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2、</w:t>
      </w:r>
      <w:r>
        <w:rPr>
          <w:rFonts w:hint="eastAsia" w:hAnsi="宋体"/>
          <w:snapToGrid w:val="0"/>
          <w:color w:val="auto"/>
          <w:kern w:val="0"/>
          <w:sz w:val="24"/>
          <w:szCs w:val="24"/>
          <w:highlight w:val="none"/>
        </w:rPr>
        <w:t>技术部分评分因素缺项则该项得0分。</w:t>
      </w:r>
    </w:p>
    <w:p>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lang w:val="en-US" w:eastAsia="zh-CN"/>
        </w:rPr>
        <w:br w:type="page"/>
      </w:r>
      <w:r>
        <w:rPr>
          <w:rFonts w:hint="eastAsia" w:ascii="宋体" w:hAnsi="宋体"/>
          <w:b/>
          <w:bCs/>
          <w:snapToGrid w:val="0"/>
          <w:color w:val="auto"/>
          <w:kern w:val="0"/>
          <w:sz w:val="24"/>
          <w:highlight w:val="none"/>
          <w:lang w:val="en-US" w:eastAsia="zh-CN"/>
        </w:rPr>
        <w:t>定标方法</w:t>
      </w:r>
    </w:p>
    <w:p>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lang w:val="en-US" w:eastAsia="zh-CN"/>
        </w:rPr>
        <w:t>定标方法</w:t>
      </w:r>
      <w:r>
        <w:rPr>
          <w:rFonts w:ascii="宋体" w:hAnsi="宋体"/>
          <w:b/>
          <w:bCs/>
          <w:snapToGrid w:val="0"/>
          <w:color w:val="auto"/>
          <w:kern w:val="0"/>
          <w:sz w:val="24"/>
          <w:highlight w:val="none"/>
        </w:rPr>
        <w:t>前附表</w:t>
      </w:r>
    </w:p>
    <w:p>
      <w:pPr>
        <w:rPr>
          <w:color w:val="auto"/>
          <w:highlight w:val="none"/>
        </w:rPr>
      </w:pPr>
    </w:p>
    <w:tbl>
      <w:tblPr>
        <w:tblStyle w:val="12"/>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247"/>
        <w:gridCol w:w="1342"/>
        <w:gridCol w:w="5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39" w:type="pct"/>
            <w:gridSpan w:val="2"/>
            <w:noWrap w:val="0"/>
            <w:vAlign w:val="center"/>
          </w:tcPr>
          <w:p>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3860" w:type="pct"/>
            <w:gridSpan w:val="2"/>
            <w:noWrap w:val="0"/>
            <w:vAlign w:val="center"/>
          </w:tcPr>
          <w:p>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noWrap w:val="0"/>
            <w:vAlign w:val="center"/>
          </w:tcPr>
          <w:p>
            <w:pPr>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w:t>
            </w:r>
          </w:p>
        </w:tc>
        <w:tc>
          <w:tcPr>
            <w:tcW w:w="730" w:type="pct"/>
            <w:noWrap w:val="0"/>
            <w:vAlign w:val="center"/>
          </w:tcPr>
          <w:p>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定标</w:t>
            </w:r>
            <w:r>
              <w:rPr>
                <w:rFonts w:hint="eastAsia" w:ascii="宋体" w:hAnsi="宋体" w:eastAsia="宋体" w:cs="宋体"/>
                <w:color w:val="auto"/>
                <w:sz w:val="24"/>
                <w:szCs w:val="24"/>
                <w:highlight w:val="none"/>
              </w:rPr>
              <w:t>方法</w:t>
            </w:r>
          </w:p>
        </w:tc>
        <w:tc>
          <w:tcPr>
            <w:tcW w:w="3860" w:type="pct"/>
            <w:gridSpan w:val="2"/>
            <w:noWrap w:val="0"/>
            <w:vAlign w:val="center"/>
          </w:tcPr>
          <w:p>
            <w:pPr>
              <w:snapToGrid w:val="0"/>
              <w:spacing w:line="240" w:lineRule="auto"/>
              <w:jc w:val="left"/>
              <w:rPr>
                <w:rFonts w:hint="eastAsia"/>
                <w:color w:val="auto"/>
                <w:sz w:val="24"/>
                <w:szCs w:val="24"/>
                <w:highlight w:val="none"/>
              </w:rPr>
            </w:pPr>
            <w:r>
              <w:rPr>
                <w:rFonts w:hint="eastAsia"/>
                <w:color w:val="auto"/>
                <w:sz w:val="24"/>
                <w:szCs w:val="24"/>
                <w:highlight w:val="none"/>
              </w:rPr>
              <w:t>本次</w:t>
            </w:r>
            <w:r>
              <w:rPr>
                <w:rFonts w:hint="eastAsia"/>
                <w:color w:val="auto"/>
                <w:sz w:val="24"/>
                <w:szCs w:val="24"/>
                <w:highlight w:val="none"/>
                <w:lang w:val="en-US" w:eastAsia="zh-CN"/>
              </w:rPr>
              <w:t>定标</w:t>
            </w:r>
            <w:r>
              <w:rPr>
                <w:rFonts w:hint="eastAsia"/>
                <w:color w:val="auto"/>
                <w:sz w:val="24"/>
                <w:szCs w:val="24"/>
                <w:highlight w:val="none"/>
              </w:rPr>
              <w:t>采用价格竞争法。</w:t>
            </w:r>
          </w:p>
          <w:p>
            <w:pPr>
              <w:pStyle w:val="15"/>
              <w:spacing w:line="240" w:lineRule="auto"/>
              <w:rPr>
                <w:rFonts w:hint="eastAsia"/>
                <w:color w:val="auto"/>
                <w:sz w:val="24"/>
                <w:szCs w:val="24"/>
                <w:highlight w:val="none"/>
              </w:rPr>
            </w:pPr>
            <w:r>
              <w:rPr>
                <w:rFonts w:hint="eastAsia"/>
                <w:color w:val="auto"/>
                <w:sz w:val="24"/>
                <w:szCs w:val="24"/>
                <w:highlight w:val="none"/>
              </w:rPr>
              <w:t>按照招标文件规定的评标办法和定标因素，按照评标价由低到高的顺序对评标委员会推荐的中标候选人进行排序和确定中标人。</w:t>
            </w:r>
          </w:p>
          <w:p>
            <w:pPr>
              <w:pStyle w:val="15"/>
              <w:spacing w:line="240" w:lineRule="auto"/>
              <w:rPr>
                <w:rFonts w:hint="eastAsia"/>
                <w:color w:val="auto"/>
                <w:sz w:val="24"/>
                <w:szCs w:val="24"/>
                <w:highlight w:val="none"/>
              </w:rPr>
            </w:pPr>
            <w:r>
              <w:rPr>
                <w:rFonts w:hint="eastAsia"/>
                <w:color w:val="auto"/>
                <w:sz w:val="24"/>
                <w:szCs w:val="24"/>
                <w:highlight w:val="none"/>
              </w:rPr>
              <w:t>中标候选人价格相等且影响中标人确定的，按照以下优先顺序确定中标人：</w:t>
            </w:r>
          </w:p>
          <w:p>
            <w:pPr>
              <w:pStyle w:val="15"/>
              <w:spacing w:line="240" w:lineRule="auto"/>
              <w:rPr>
                <w:rFonts w:hint="eastAsia"/>
                <w:color w:val="auto"/>
                <w:sz w:val="24"/>
                <w:szCs w:val="24"/>
                <w:highlight w:val="none"/>
              </w:rPr>
            </w:pPr>
            <w:r>
              <w:rPr>
                <w:rFonts w:hint="eastAsia"/>
                <w:color w:val="auto"/>
                <w:sz w:val="24"/>
                <w:szCs w:val="24"/>
                <w:highlight w:val="none"/>
              </w:rPr>
              <w:t>(1)第一个信封暗标技术得分较高的优先；</w:t>
            </w:r>
          </w:p>
          <w:p>
            <w:pPr>
              <w:pStyle w:val="15"/>
              <w:spacing w:line="240" w:lineRule="auto"/>
              <w:rPr>
                <w:rFonts w:hint="eastAsia"/>
                <w:color w:val="auto"/>
                <w:sz w:val="24"/>
                <w:szCs w:val="24"/>
                <w:highlight w:val="none"/>
              </w:rPr>
            </w:pPr>
            <w:r>
              <w:rPr>
                <w:rFonts w:hint="eastAsia"/>
                <w:color w:val="auto"/>
                <w:sz w:val="24"/>
                <w:szCs w:val="24"/>
                <w:highlight w:val="none"/>
              </w:rPr>
              <w:t>(2)满足资格审查条件(业绩最低要求)要求的业绩累计合同金额高的优先。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408" w:type="pct"/>
            <w:noWrap w:val="0"/>
            <w:vAlign w:val="center"/>
          </w:tcPr>
          <w:p>
            <w:pPr>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w:t>
            </w:r>
          </w:p>
        </w:tc>
        <w:tc>
          <w:tcPr>
            <w:tcW w:w="730" w:type="pct"/>
            <w:noWrap w:val="0"/>
            <w:vAlign w:val="center"/>
          </w:tcPr>
          <w:p>
            <w:pPr>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sz w:val="24"/>
                <w:szCs w:val="24"/>
                <w:highlight w:val="none"/>
              </w:rPr>
              <w:t>定标</w:t>
            </w:r>
            <w:r>
              <w:rPr>
                <w:rFonts w:hint="eastAsia" w:ascii="宋体" w:hAnsi="宋体" w:eastAsia="宋体" w:cs="宋体"/>
                <w:color w:val="auto"/>
                <w:spacing w:val="0"/>
                <w:sz w:val="24"/>
                <w:szCs w:val="24"/>
                <w:highlight w:val="none"/>
                <w:lang w:val="en-US" w:eastAsia="zh-CN"/>
              </w:rPr>
              <w:t>因素</w:t>
            </w:r>
          </w:p>
        </w:tc>
        <w:tc>
          <w:tcPr>
            <w:tcW w:w="3860" w:type="pct"/>
            <w:gridSpan w:val="2"/>
            <w:noWrap w:val="0"/>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right="138"/>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招标人根据项目概况和自身实际需求确定定标因素，</w:t>
            </w:r>
            <w:r>
              <w:rPr>
                <w:rFonts w:hint="eastAsia" w:ascii="宋体" w:hAnsi="宋体" w:eastAsia="宋体" w:cs="宋体"/>
                <w:color w:val="auto"/>
                <w:spacing w:val="0"/>
                <w:sz w:val="24"/>
                <w:szCs w:val="24"/>
                <w:highlight w:val="none"/>
                <w:lang w:val="en-US" w:eastAsia="zh-CN"/>
              </w:rPr>
              <w:t>包括但不限于</w:t>
            </w:r>
            <w:r>
              <w:rPr>
                <w:rFonts w:hint="eastAsia" w:ascii="宋体" w:hAnsi="宋体" w:eastAsia="宋体" w:cs="宋体"/>
                <w:color w:val="auto"/>
                <w:spacing w:val="0"/>
                <w:sz w:val="24"/>
                <w:szCs w:val="24"/>
                <w:highlight w:val="none"/>
              </w:rPr>
              <w:t>价格因素</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企业实力等；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08" w:type="pct"/>
            <w:vMerge w:val="restart"/>
            <w:noWrap w:val="0"/>
            <w:vAlign w:val="center"/>
          </w:tcPr>
          <w:p>
            <w:pPr>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w:t>
            </w:r>
          </w:p>
        </w:tc>
        <w:tc>
          <w:tcPr>
            <w:tcW w:w="1518" w:type="pct"/>
            <w:gridSpan w:val="2"/>
            <w:noWrap w:val="0"/>
            <w:vAlign w:val="center"/>
          </w:tcPr>
          <w:p>
            <w:pPr>
              <w:pStyle w:val="20"/>
              <w:snapToGrid w:val="0"/>
              <w:spacing w:line="240" w:lineRule="auto"/>
              <w:ind w:firstLine="480"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定标委员会组成</w:t>
            </w:r>
          </w:p>
        </w:tc>
        <w:tc>
          <w:tcPr>
            <w:tcW w:w="3073" w:type="pct"/>
            <w:noWrap w:val="0"/>
            <w:vAlign w:val="center"/>
          </w:tcPr>
          <w:p>
            <w:pPr>
              <w:pStyle w:val="20"/>
              <w:snapToGrid w:val="0"/>
              <w:spacing w:line="240" w:lineRule="auto"/>
              <w:jc w:val="both"/>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5人，</w:t>
            </w:r>
            <w:r>
              <w:rPr>
                <w:rFonts w:hint="eastAsia" w:ascii="宋体" w:hAnsi="宋体" w:eastAsia="宋体" w:cs="宋体"/>
                <w:color w:val="auto"/>
                <w:spacing w:val="0"/>
                <w:sz w:val="24"/>
                <w:szCs w:val="24"/>
                <w:highlight w:val="none"/>
                <w:lang w:val="en-US" w:eastAsia="zh-CN"/>
              </w:rPr>
              <w:t>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08" w:type="pct"/>
            <w:vMerge w:val="continue"/>
            <w:noWrap w:val="0"/>
            <w:vAlign w:val="center"/>
          </w:tcPr>
          <w:p>
            <w:pPr>
              <w:snapToGrid w:val="0"/>
              <w:spacing w:line="240" w:lineRule="auto"/>
              <w:jc w:val="center"/>
              <w:rPr>
                <w:rFonts w:hint="eastAsia" w:ascii="宋体" w:hAnsi="宋体" w:eastAsia="宋体" w:cs="宋体"/>
                <w:color w:val="auto"/>
                <w:sz w:val="24"/>
                <w:szCs w:val="24"/>
                <w:highlight w:val="none"/>
                <w:lang w:val="en-US" w:eastAsia="zh-CN"/>
              </w:rPr>
            </w:pPr>
          </w:p>
        </w:tc>
        <w:tc>
          <w:tcPr>
            <w:tcW w:w="1518" w:type="pct"/>
            <w:gridSpan w:val="2"/>
            <w:noWrap w:val="0"/>
            <w:vAlign w:val="center"/>
          </w:tcPr>
          <w:p>
            <w:pPr>
              <w:pStyle w:val="20"/>
              <w:snapToGrid w:val="0"/>
              <w:spacing w:line="240" w:lineRule="auto"/>
              <w:ind w:firstLine="480" w:firstLineChars="200"/>
              <w:jc w:val="both"/>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确定中标人</w:t>
            </w:r>
          </w:p>
        </w:tc>
        <w:tc>
          <w:tcPr>
            <w:tcW w:w="3073" w:type="pct"/>
            <w:noWrap w:val="0"/>
            <w:vAlign w:val="center"/>
          </w:tcPr>
          <w:p>
            <w:pPr>
              <w:pStyle w:val="20"/>
              <w:snapToGrid w:val="0"/>
              <w:spacing w:line="240" w:lineRule="auto"/>
              <w:jc w:val="both"/>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sz w:val="24"/>
                <w:szCs w:val="24"/>
                <w:highlight w:val="none"/>
              </w:rPr>
              <w:t>定标委员会</w:t>
            </w:r>
            <w:r>
              <w:rPr>
                <w:rFonts w:hint="eastAsia" w:ascii="宋体" w:hAnsi="宋体" w:eastAsia="宋体" w:cs="宋体"/>
                <w:color w:val="auto"/>
                <w:spacing w:val="0"/>
                <w:sz w:val="24"/>
                <w:szCs w:val="24"/>
                <w:highlight w:val="none"/>
                <w:lang w:val="en-US" w:eastAsia="zh-CN"/>
              </w:rPr>
              <w:t>通过</w:t>
            </w:r>
            <w:r>
              <w:rPr>
                <w:rFonts w:hint="eastAsia" w:ascii="宋体" w:hAnsi="宋体" w:eastAsia="宋体" w:cs="宋体"/>
                <w:color w:val="auto"/>
                <w:sz w:val="24"/>
                <w:szCs w:val="24"/>
                <w:highlight w:val="none"/>
              </w:rPr>
              <w:t>价格竞争法</w:t>
            </w:r>
            <w:r>
              <w:rPr>
                <w:rFonts w:hint="eastAsia" w:ascii="宋体" w:hAnsi="宋体" w:eastAsia="宋体" w:cs="宋体"/>
                <w:color w:val="auto"/>
                <w:sz w:val="24"/>
                <w:szCs w:val="24"/>
                <w:highlight w:val="none"/>
                <w:lang w:val="en-US" w:eastAsia="zh-CN"/>
              </w:rPr>
              <w:t>确定</w:t>
            </w:r>
            <w:r>
              <w:rPr>
                <w:rFonts w:hint="eastAsia" w:ascii="宋体" w:hAnsi="宋体" w:cs="宋体"/>
                <w:color w:val="auto"/>
                <w:spacing w:val="0"/>
                <w:sz w:val="24"/>
                <w:szCs w:val="24"/>
                <w:highlight w:val="none"/>
                <w:lang w:val="en-US" w:eastAsia="zh-CN"/>
              </w:rPr>
              <w:t>评标价最低</w:t>
            </w:r>
            <w:r>
              <w:rPr>
                <w:rFonts w:hint="eastAsia" w:ascii="宋体" w:hAnsi="宋体" w:eastAsia="宋体" w:cs="宋体"/>
                <w:color w:val="auto"/>
                <w:spacing w:val="0"/>
                <w:sz w:val="24"/>
                <w:szCs w:val="24"/>
                <w:highlight w:val="none"/>
                <w:lang w:eastAsia="zh-CN"/>
              </w:rPr>
              <w:t>的</w:t>
            </w:r>
            <w:r>
              <w:rPr>
                <w:rFonts w:hint="eastAsia" w:ascii="宋体" w:hAnsi="宋体" w:eastAsia="宋体" w:cs="宋体"/>
                <w:color w:val="auto"/>
                <w:spacing w:val="0"/>
                <w:sz w:val="24"/>
                <w:szCs w:val="24"/>
                <w:highlight w:val="none"/>
              </w:rPr>
              <w:t>中标候选人</w:t>
            </w:r>
            <w:r>
              <w:rPr>
                <w:rFonts w:hint="eastAsia" w:ascii="宋体" w:hAnsi="宋体" w:eastAsia="宋体" w:cs="宋体"/>
                <w:color w:val="auto"/>
                <w:spacing w:val="0"/>
                <w:sz w:val="24"/>
                <w:szCs w:val="24"/>
                <w:highlight w:val="none"/>
                <w:lang w:val="en-US" w:eastAsia="zh-CN"/>
              </w:rPr>
              <w:t>为</w:t>
            </w:r>
            <w:r>
              <w:rPr>
                <w:rFonts w:hint="eastAsia" w:ascii="宋体" w:hAnsi="宋体" w:eastAsia="宋体" w:cs="宋体"/>
                <w:color w:val="auto"/>
                <w:spacing w:val="0"/>
                <w:sz w:val="24"/>
                <w:szCs w:val="24"/>
                <w:highlight w:val="none"/>
              </w:rPr>
              <w:t>中标人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D327F3"/>
    <w:multiLevelType w:val="singleLevel"/>
    <w:tmpl w:val="9AD327F3"/>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ZDYxNTJjZmI2NmVkYTMyOWVjMGFiZjEzZGM5NjgifQ=="/>
    <w:docVar w:name="KSO_WPS_MARK_KEY" w:val="1420553f-cbb3-4da3-9e51-d354936adb4d"/>
  </w:docVars>
  <w:rsids>
    <w:rsidRoot w:val="00000000"/>
    <w:rsid w:val="77566E3C"/>
    <w:rsid w:val="792E2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qFormat/>
    <w:uiPriority w:val="9"/>
    <w:pPr>
      <w:keepNext/>
      <w:keepLines/>
      <w:spacing w:before="50" w:beforeLines="50" w:line="415" w:lineRule="auto"/>
      <w:outlineLvl w:val="2"/>
    </w:pPr>
    <w:rPr>
      <w:b/>
      <w:bCs/>
      <w:sz w:val="32"/>
      <w:szCs w:val="32"/>
    </w:rPr>
  </w:style>
  <w:style w:type="paragraph" w:styleId="4">
    <w:name w:val="heading 6"/>
    <w:basedOn w:val="1"/>
    <w:next w:val="1"/>
    <w:qFormat/>
    <w:uiPriority w:val="9"/>
    <w:pPr>
      <w:keepNext/>
      <w:keepLines/>
      <w:spacing w:before="240" w:after="64" w:line="320" w:lineRule="auto"/>
      <w:outlineLvl w:val="5"/>
    </w:pPr>
    <w:rPr>
      <w:rFonts w:ascii="等线 Light" w:hAnsi="等线 Light" w:eastAsia="等线 Light" w:cs="Times New Roman"/>
      <w:b/>
      <w:bCs/>
      <w:sz w:val="24"/>
      <w:szCs w:val="24"/>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ind w:firstLine="560" w:firstLineChars="200"/>
    </w:pPr>
    <w:rPr>
      <w:rFonts w:ascii="Cambria" w:hAnsi="Cambria"/>
      <w:szCs w:val="24"/>
    </w:rPr>
  </w:style>
  <w:style w:type="paragraph" w:styleId="5">
    <w:name w:val="Body Text"/>
    <w:basedOn w:val="1"/>
    <w:next w:val="6"/>
    <w:qFormat/>
    <w:uiPriority w:val="1"/>
    <w:pPr>
      <w:ind w:left="100"/>
      <w:jc w:val="left"/>
    </w:pPr>
    <w:rPr>
      <w:rFonts w:ascii="宋体" w:hAnsi="宋体" w:cs="Times New Roman"/>
      <w:kern w:val="0"/>
      <w:szCs w:val="21"/>
      <w:lang w:eastAsia="en-US"/>
    </w:rPr>
  </w:style>
  <w:style w:type="paragraph" w:styleId="6">
    <w:name w:val="Body Text 2"/>
    <w:basedOn w:val="1"/>
    <w:next w:val="1"/>
    <w:unhideWhenUsed/>
    <w:qFormat/>
    <w:uiPriority w:val="0"/>
    <w:pPr>
      <w:spacing w:after="120" w:line="480" w:lineRule="auto"/>
    </w:pPr>
  </w:style>
  <w:style w:type="paragraph" w:styleId="7">
    <w:name w:val="Body Text Indent"/>
    <w:basedOn w:val="1"/>
    <w:next w:val="1"/>
    <w:unhideWhenUsed/>
    <w:qFormat/>
    <w:uiPriority w:val="99"/>
    <w:pPr>
      <w:spacing w:after="120"/>
      <w:ind w:left="420" w:leftChars="200"/>
    </w:pPr>
  </w:style>
  <w:style w:type="paragraph" w:styleId="8">
    <w:name w:val="Plain Text"/>
    <w:basedOn w:val="1"/>
    <w:next w:val="9"/>
    <w:qFormat/>
    <w:uiPriority w:val="0"/>
    <w:rPr>
      <w:rFonts w:ascii="宋体" w:hAnsi="Courier New"/>
      <w:szCs w:val="20"/>
    </w:rPr>
  </w:style>
  <w:style w:type="paragraph" w:styleId="9">
    <w:name w:val="List Number 5"/>
    <w:basedOn w:val="1"/>
    <w:uiPriority w:val="0"/>
    <w:pPr>
      <w:numPr>
        <w:ilvl w:val="0"/>
        <w:numId w:val="1"/>
      </w:numPr>
    </w:p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Body Text First Indent 2"/>
    <w:basedOn w:val="7"/>
    <w:next w:val="1"/>
    <w:unhideWhenUsed/>
    <w:qFormat/>
    <w:uiPriority w:val="99"/>
    <w:pPr>
      <w:tabs>
        <w:tab w:val="left" w:pos="5580"/>
      </w:tabs>
      <w:ind w:left="420" w:leftChars="200" w:firstLine="420"/>
    </w:pPr>
    <w:rPr>
      <w:rFonts w:ascii="Times New Roman" w:hAnsi="Times New Roman"/>
      <w:sz w:val="21"/>
    </w:rPr>
  </w:style>
  <w:style w:type="paragraph" w:customStyle="1" w:styleId="14">
    <w:name w:val="1正文"/>
    <w:basedOn w:val="1"/>
    <w:qFormat/>
    <w:uiPriority w:val="0"/>
    <w:pPr>
      <w:ind w:firstLine="480"/>
    </w:pPr>
    <w:rPr>
      <w:rFonts w:cs="宋体"/>
      <w:szCs w:val="24"/>
    </w:rPr>
  </w:style>
  <w:style w:type="paragraph" w:customStyle="1" w:styleId="15">
    <w:name w:val="Default"/>
    <w:next w:val="16"/>
    <w:qFormat/>
    <w:uiPriority w:val="99"/>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6">
    <w:name w:val="大标题"/>
    <w:basedOn w:val="1"/>
    <w:next w:val="11"/>
    <w:qFormat/>
    <w:uiPriority w:val="0"/>
    <w:pPr>
      <w:jc w:val="center"/>
    </w:pPr>
    <w:rPr>
      <w:rFonts w:ascii="Arial" w:hAnsi="Arial"/>
      <w:b/>
      <w:sz w:val="28"/>
    </w:rPr>
  </w:style>
  <w:style w:type="character" w:customStyle="1" w:styleId="17">
    <w:name w:val="NormalCharacter"/>
    <w:link w:val="18"/>
    <w:qFormat/>
    <w:uiPriority w:val="0"/>
    <w:rPr>
      <w:kern w:val="0"/>
      <w:sz w:val="20"/>
      <w:szCs w:val="20"/>
    </w:rPr>
  </w:style>
  <w:style w:type="paragraph" w:customStyle="1" w:styleId="18">
    <w:name w:val="UserStyle_24"/>
    <w:basedOn w:val="1"/>
    <w:link w:val="17"/>
    <w:qFormat/>
    <w:uiPriority w:val="0"/>
    <w:pPr>
      <w:widowControl/>
      <w:spacing w:line="360" w:lineRule="auto"/>
      <w:ind w:firstLine="200" w:firstLineChars="200"/>
      <w:jc w:val="left"/>
    </w:pPr>
    <w:rPr>
      <w:kern w:val="0"/>
      <w:sz w:val="20"/>
      <w:szCs w:val="20"/>
    </w:rPr>
  </w:style>
  <w:style w:type="paragraph" w:customStyle="1" w:styleId="19">
    <w:name w:val="UserStyle_340"/>
    <w:basedOn w:val="1"/>
    <w:qFormat/>
    <w:uiPriority w:val="0"/>
    <w:pPr>
      <w:widowControl/>
      <w:spacing w:line="340" w:lineRule="exact"/>
      <w:jc w:val="center"/>
    </w:pPr>
    <w:rPr>
      <w:rFonts w:ascii="宋体" w:hAnsi="Calibri"/>
      <w:bCs/>
      <w:color w:val="000000"/>
      <w:kern w:val="0"/>
      <w:szCs w:val="21"/>
    </w:rPr>
  </w:style>
  <w:style w:type="paragraph" w:customStyle="1" w:styleId="20">
    <w:name w:val="Table Paragraph"/>
    <w:basedOn w:val="1"/>
    <w:qFormat/>
    <w:uiPriority w:val="1"/>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2024-08-30T00:48:00Z</dcterms:created>
  <dc:creator>宿子轩</dc:creator>
  <cp:lastModifiedBy>李娜</cp:lastModifiedBy>
  <dcterms:modified xsi:type="dcterms:W3CDTF">2024-08-30T00:55:53Z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AA4E953CDD994742AF9B5B3D4C68619A_12</vt:lpwstr>
  </property>
</Properties>
</file>