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bookmarkStart w:id="1" w:name="_Hlk515531673"/>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w:t>
      </w:r>
      <w:bookmarkStart w:id="2" w:name="_Hlk93741047"/>
      <w:r>
        <w:rPr>
          <w:rFonts w:hint="eastAsia" w:ascii="宋体" w:hAnsi="宋体" w:eastAsia="宋体" w:cs="宋体"/>
          <w:b/>
          <w:color w:val="auto"/>
          <w:sz w:val="24"/>
          <w:szCs w:val="24"/>
          <w:highlight w:val="none"/>
        </w:rPr>
        <w:t>资质最低要求</w:t>
      </w:r>
      <w:bookmarkEnd w:id="2"/>
      <w:r>
        <w:rPr>
          <w:rFonts w:hint="eastAsia" w:ascii="宋体" w:hAnsi="宋体" w:eastAsia="宋体" w:cs="宋体"/>
          <w:b/>
          <w:color w:val="auto"/>
          <w:sz w:val="24"/>
          <w:szCs w:val="24"/>
          <w:highlight w:val="none"/>
        </w:rPr>
        <w:t>）</w:t>
      </w:r>
      <w:bookmarkEnd w:id="1"/>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 w:val="21"/>
                <w:szCs w:val="21"/>
                <w:highlight w:val="none"/>
              </w:rPr>
            </w:pPr>
            <w:bookmarkStart w:id="3" w:name="_Hlk93741073"/>
            <w:r>
              <w:rPr>
                <w:rFonts w:hint="eastAsia" w:ascii="宋体" w:hAnsi="宋体"/>
                <w:color w:val="auto"/>
                <w:kern w:val="0"/>
                <w:szCs w:val="21"/>
                <w:highlight w:val="none"/>
              </w:rPr>
              <w:t>具有独立法人资格，具有有效的企业营业执照或事业单位法人证书</w:t>
            </w:r>
            <w:r>
              <w:rPr>
                <w:rFonts w:hint="eastAsia" w:ascii="宋体" w:hAnsi="宋体" w:eastAsia="宋体" w:cs="宋体"/>
                <w:color w:val="auto"/>
                <w:sz w:val="21"/>
                <w:szCs w:val="21"/>
                <w:highlight w:val="none"/>
              </w:rPr>
              <w:t>。</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以联合体形式投标的，联合体所有成员均需满足</w:t>
            </w:r>
            <w:r>
              <w:rPr>
                <w:rFonts w:hint="eastAsia" w:hAnsi="宋体" w:cs="宋体"/>
                <w:color w:val="auto"/>
                <w:sz w:val="21"/>
                <w:szCs w:val="21"/>
                <w:highlight w:val="none"/>
                <w:lang w:val="en-US" w:eastAsia="zh-CN"/>
              </w:rPr>
              <w:t>上述</w:t>
            </w:r>
            <w:r>
              <w:rPr>
                <w:rFonts w:hint="eastAsia" w:ascii="宋体" w:hAnsi="宋体" w:eastAsia="宋体" w:cs="宋体"/>
                <w:color w:val="auto"/>
                <w:sz w:val="21"/>
                <w:szCs w:val="21"/>
                <w:highlight w:val="none"/>
              </w:rPr>
              <w:t>要求</w:t>
            </w:r>
            <w:r>
              <w:rPr>
                <w:rFonts w:hint="eastAsia" w:hAnsi="宋体" w:cs="宋体"/>
                <w:color w:val="auto"/>
                <w:sz w:val="21"/>
                <w:szCs w:val="21"/>
                <w:highlight w:val="none"/>
                <w:lang w:eastAsia="zh-CN"/>
              </w:rPr>
              <w:t>，联合体所有成员数量不得超过2家</w:t>
            </w:r>
            <w:r>
              <w:rPr>
                <w:rFonts w:hint="eastAsia" w:ascii="宋体" w:hAnsi="宋体" w:eastAsia="宋体" w:cs="宋体"/>
                <w:color w:val="auto"/>
                <w:sz w:val="21"/>
                <w:szCs w:val="21"/>
                <w:highlight w:val="none"/>
              </w:rPr>
              <w:t>。</w:t>
            </w:r>
          </w:p>
        </w:tc>
      </w:tr>
      <w:bookmarkEnd w:id="3"/>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近5年（2019年</w:t>
            </w:r>
            <w:r>
              <w:rPr>
                <w:rFonts w:hint="eastAsia" w:hAnsi="宋体" w:cs="宋体"/>
                <w:color w:val="auto"/>
                <w:sz w:val="21"/>
                <w:szCs w:val="21"/>
                <w:highlight w:val="none"/>
                <w:lang w:eastAsia="zh-CN"/>
              </w:rPr>
              <w:t>10月</w:t>
            </w:r>
            <w:r>
              <w:rPr>
                <w:rFonts w:hint="eastAsia" w:ascii="宋体" w:hAnsi="宋体" w:eastAsia="宋体" w:cs="宋体"/>
                <w:color w:val="auto"/>
                <w:sz w:val="21"/>
                <w:szCs w:val="21"/>
                <w:highlight w:val="none"/>
                <w:lang w:eastAsia="zh-CN"/>
              </w:rPr>
              <w:t>1日至投标截止时间，以合同签订时间为准）至少</w:t>
            </w:r>
            <w:r>
              <w:rPr>
                <w:rFonts w:hint="eastAsia" w:hAnsi="宋体" w:cs="宋体"/>
                <w:color w:val="auto"/>
                <w:sz w:val="21"/>
                <w:szCs w:val="21"/>
                <w:highlight w:val="none"/>
                <w:lang w:val="en-US" w:eastAsia="zh-CN"/>
              </w:rPr>
              <w:t>承揽</w:t>
            </w:r>
            <w:r>
              <w:rPr>
                <w:rFonts w:hint="eastAsia" w:ascii="宋体" w:hAnsi="宋体" w:eastAsia="宋体" w:cs="宋体"/>
                <w:color w:val="auto"/>
                <w:sz w:val="21"/>
                <w:szCs w:val="21"/>
                <w:highlight w:val="none"/>
                <w:lang w:eastAsia="zh-CN"/>
              </w:rPr>
              <w:t>过1项公路行业养护信息化类或运营管理类</w:t>
            </w:r>
            <w:r>
              <w:rPr>
                <w:rFonts w:hint="eastAsia" w:hAnsi="宋体" w:cs="宋体"/>
                <w:color w:val="auto"/>
                <w:sz w:val="21"/>
                <w:szCs w:val="21"/>
                <w:highlight w:val="none"/>
                <w:lang w:eastAsia="zh-CN"/>
              </w:rPr>
              <w:t>系统开发或升级</w:t>
            </w:r>
            <w:r>
              <w:rPr>
                <w:rFonts w:hint="eastAsia" w:ascii="宋体" w:hAnsi="宋体" w:eastAsia="宋体" w:cs="宋体"/>
                <w:color w:val="auto"/>
                <w:sz w:val="21"/>
                <w:szCs w:val="21"/>
                <w:highlight w:val="none"/>
                <w:lang w:eastAsia="zh-CN"/>
              </w:rPr>
              <w:t>项目。</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以联合体形式投标的，联合体应满足本项规定的资格条件。</w:t>
            </w:r>
          </w:p>
        </w:tc>
      </w:tr>
    </w:tbl>
    <w:p>
      <w:pPr>
        <w:pStyle w:val="4"/>
        <w:rPr>
          <w:rFonts w:hint="eastAsia" w:ascii="宋体" w:hAnsi="宋体" w:eastAsia="宋体" w:cs="宋体"/>
          <w:b/>
          <w:color w:val="auto"/>
          <w:sz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投标人在过去1年中（2023年</w:t>
            </w:r>
            <w:r>
              <w:rPr>
                <w:rFonts w:hint="eastAsia" w:hAnsi="宋体" w:cs="宋体"/>
                <w:color w:val="auto"/>
                <w:sz w:val="21"/>
                <w:szCs w:val="21"/>
                <w:highlight w:val="none"/>
                <w:lang w:eastAsia="zh-CN"/>
              </w:rPr>
              <w:t>10月</w:t>
            </w:r>
            <w:r>
              <w:rPr>
                <w:rFonts w:hint="eastAsia" w:ascii="宋体" w:hAnsi="宋体" w:eastAsia="宋体" w:cs="宋体"/>
                <w:color w:val="auto"/>
                <w:sz w:val="21"/>
                <w:szCs w:val="21"/>
                <w:highlight w:val="none"/>
                <w:lang w:eastAsia="zh-CN"/>
              </w:rPr>
              <w:t>1日至投标截止时间）不曾在高速公路信息化项目合同中违约而被驱逐或因投标人自身的原因而使高速公路信息化合同被解除。</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以联合体形式投标的，联合体成员均应满足本项规定的资格条件。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w:t>
      </w:r>
      <w:r>
        <w:rPr>
          <w:rFonts w:hint="eastAsia" w:ascii="宋体" w:hAnsi="宋体" w:eastAsia="宋体" w:cs="宋体"/>
          <w:b/>
          <w:color w:val="auto"/>
          <w:sz w:val="24"/>
          <w:szCs w:val="24"/>
          <w:highlight w:val="none"/>
        </w:rPr>
        <w:t>最低要求）</w:t>
      </w:r>
    </w:p>
    <w:tbl>
      <w:tblPr>
        <w:tblStyle w:val="8"/>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53"/>
        <w:gridCol w:w="684"/>
        <w:gridCol w:w="5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64"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380"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255"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364" w:type="pct"/>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380" w:type="pct"/>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55" w:type="pct"/>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w:t>
            </w:r>
            <w:r>
              <w:rPr>
                <w:rFonts w:hint="eastAsia" w:ascii="宋体" w:hAnsi="宋体" w:cs="宋体"/>
                <w:color w:val="auto"/>
                <w:sz w:val="21"/>
                <w:szCs w:val="21"/>
                <w:highlight w:val="none"/>
                <w:lang w:val="en-US" w:eastAsia="zh-CN"/>
              </w:rPr>
              <w:t>或以上</w:t>
            </w:r>
            <w:r>
              <w:rPr>
                <w:rFonts w:hint="eastAsia" w:ascii="宋体" w:hAnsi="宋体" w:eastAsia="宋体" w:cs="宋体"/>
                <w:color w:val="auto"/>
                <w:sz w:val="21"/>
                <w:szCs w:val="21"/>
                <w:highlight w:val="none"/>
              </w:rPr>
              <w:t>职称；</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近5年（2019年</w:t>
            </w:r>
            <w:r>
              <w:rPr>
                <w:rFonts w:hint="eastAsia" w:ascii="宋体" w:hAnsi="宋体" w:cs="宋体"/>
                <w:color w:val="auto"/>
                <w:sz w:val="21"/>
                <w:szCs w:val="21"/>
                <w:highlight w:val="none"/>
                <w:lang w:eastAsia="zh-CN"/>
              </w:rPr>
              <w:t>10月</w:t>
            </w:r>
            <w:r>
              <w:rPr>
                <w:rFonts w:hint="eastAsia" w:ascii="宋体" w:hAnsi="宋体" w:eastAsia="宋体" w:cs="宋体"/>
                <w:color w:val="auto"/>
                <w:sz w:val="21"/>
                <w:szCs w:val="21"/>
                <w:highlight w:val="none"/>
                <w:lang w:eastAsia="zh-CN"/>
              </w:rPr>
              <w:t>1日至投标截止时间，以合同签订时间为准）</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rPr>
              <w:t>担任过1项公路行业养护信息化类或运营管理类</w:t>
            </w:r>
            <w:r>
              <w:rPr>
                <w:rFonts w:hint="eastAsia" w:ascii="宋体" w:hAnsi="宋体" w:cs="宋体"/>
                <w:color w:val="auto"/>
                <w:sz w:val="21"/>
                <w:szCs w:val="21"/>
                <w:highlight w:val="none"/>
                <w:lang w:eastAsia="zh-CN"/>
              </w:rPr>
              <w:t>系统开发或升级</w:t>
            </w:r>
            <w:r>
              <w:rPr>
                <w:rFonts w:hint="eastAsia" w:ascii="宋体" w:hAnsi="宋体" w:eastAsia="宋体" w:cs="宋体"/>
                <w:color w:val="auto"/>
                <w:sz w:val="21"/>
                <w:szCs w:val="21"/>
                <w:highlight w:val="none"/>
              </w:rPr>
              <w:t>项目的项目负责人。</w:t>
            </w:r>
          </w:p>
        </w:tc>
      </w:tr>
    </w:tbl>
    <w:p>
      <w:pPr>
        <w:jc w:val="center"/>
        <w:rPr>
          <w:rFonts w:hint="eastAsia" w:ascii="宋体" w:hAnsi="宋体"/>
          <w:b/>
          <w:sz w:val="24"/>
          <w:szCs w:val="24"/>
          <w:highlight w:val="none"/>
        </w:rPr>
      </w:pPr>
    </w:p>
    <w:p>
      <w:pPr>
        <w:pStyle w:val="3"/>
        <w:snapToGrid w:val="0"/>
        <w:spacing w:beforeLines="50" w:afterLines="50"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br w:type="page"/>
      </w:r>
      <w:bookmarkStart w:id="4" w:name="_Toc141780407"/>
      <w:r>
        <w:rPr>
          <w:rFonts w:hint="eastAsia" w:ascii="宋体" w:hAnsi="宋体" w:eastAsia="宋体" w:cs="宋体"/>
          <w:color w:val="auto"/>
          <w:sz w:val="24"/>
          <w:szCs w:val="24"/>
          <w:highlight w:val="none"/>
        </w:rPr>
        <w:t>附件2：评标办法</w:t>
      </w:r>
      <w:bookmarkEnd w:id="4"/>
    </w:p>
    <w:p>
      <w:pPr>
        <w:pStyle w:val="3"/>
        <w:snapToGrid w:val="0"/>
        <w:spacing w:before="120" w:after="120" w:line="240" w:lineRule="auto"/>
        <w:rPr>
          <w:rFonts w:hint="eastAsia" w:ascii="宋体" w:hAnsi="宋体" w:eastAsia="宋体" w:cs="宋体"/>
          <w:color w:val="auto"/>
          <w:sz w:val="24"/>
          <w:szCs w:val="24"/>
          <w:highlight w:val="none"/>
        </w:rPr>
      </w:pPr>
      <w:bookmarkStart w:id="5" w:name="_Toc65857110"/>
      <w:bookmarkStart w:id="6" w:name="_Toc141780408"/>
      <w:bookmarkStart w:id="7" w:name="_Toc65820978"/>
      <w:bookmarkStart w:id="8" w:name="_Toc138793770"/>
      <w:bookmarkStart w:id="9" w:name="_Toc66984522"/>
      <w:bookmarkStart w:id="10" w:name="_Toc66337244"/>
      <w:r>
        <w:rPr>
          <w:rFonts w:hint="eastAsia" w:ascii="宋体" w:hAnsi="宋体" w:eastAsia="宋体" w:cs="宋体"/>
          <w:color w:val="auto"/>
          <w:sz w:val="24"/>
          <w:szCs w:val="24"/>
          <w:highlight w:val="none"/>
        </w:rPr>
        <w:t>评标办法前附表</w:t>
      </w:r>
      <w:bookmarkEnd w:id="5"/>
      <w:bookmarkEnd w:id="6"/>
      <w:bookmarkEnd w:id="7"/>
      <w:bookmarkEnd w:id="8"/>
      <w:bookmarkEnd w:id="9"/>
      <w:bookmarkEnd w:id="10"/>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4"/>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pStyle w:val="4"/>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政府采购严重违法失信行为记录名单、安全生产严重失信主体名单</w:t>
            </w:r>
            <w:r>
              <w:rPr>
                <w:rFonts w:hint="eastAsia" w:ascii="宋体" w:hAnsi="宋体" w:eastAsia="宋体" w:cs="宋体"/>
                <w:color w:val="auto"/>
                <w:sz w:val="21"/>
                <w:szCs w:val="21"/>
                <w:highlight w:val="none"/>
              </w:rPr>
              <w:t>（均不含分公司）的复核结果一致。如投标人未提供相关网页截图或所附截图与复核结果不一致，评标委员会应否决其投标。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如投标人未提供招标文件要求的相关截图或与评标委员会查询结果不符的，评标委员会应否决其投标。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评分因素与权重分值</w:t>
            </w:r>
          </w:p>
        </w:tc>
        <w:tc>
          <w:tcPr>
            <w:tcW w:w="5845" w:type="dxa"/>
            <w:vMerge w:val="restart"/>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ind w:left="-40" w:leftChars="-19" w:right="-31" w:rightChars="-15" w:firstLine="1"/>
              <w:jc w:val="center"/>
              <w:rPr>
                <w:rFonts w:ascii="Times New Roman" w:hAnsi="Times New Roman"/>
                <w:szCs w:val="21"/>
                <w:highlight w:val="none"/>
              </w:rPr>
            </w:pPr>
            <w:r>
              <w:rPr>
                <w:rFonts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ascii="Times New Roman" w:hAnsi="Times New Roman"/>
                <w:szCs w:val="21"/>
                <w:highlight w:val="none"/>
              </w:rPr>
            </w:pPr>
            <w:r>
              <w:rPr>
                <w:rStyle w:val="11"/>
                <w:rFonts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分值</w:t>
            </w:r>
          </w:p>
        </w:tc>
        <w:tc>
          <w:tcPr>
            <w:tcW w:w="5845" w:type="dxa"/>
            <w:vMerge w:val="continue"/>
            <w:noWrap w:val="0"/>
            <w:vAlign w:val="center"/>
          </w:tcPr>
          <w:p>
            <w:pPr>
              <w:pStyle w:val="6"/>
              <w:spacing w:line="160" w:lineRule="atLeast"/>
              <w:jc w:val="center"/>
              <w:rPr>
                <w:rFonts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2.2.4（1）</w:t>
            </w:r>
          </w:p>
        </w:tc>
        <w:tc>
          <w:tcPr>
            <w:tcW w:w="741" w:type="dxa"/>
            <w:vMerge w:val="restart"/>
            <w:tcBorders>
              <w:top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实施方案</w:t>
            </w:r>
          </w:p>
        </w:tc>
        <w:tc>
          <w:tcPr>
            <w:tcW w:w="624" w:type="dxa"/>
            <w:vMerge w:val="restart"/>
            <w:tcBorders>
              <w:top w:val="single" w:color="auto" w:sz="4" w:space="0"/>
            </w:tcBorders>
            <w:noWrap w:val="0"/>
            <w:vAlign w:val="center"/>
          </w:tcPr>
          <w:p>
            <w:pPr>
              <w:pStyle w:val="6"/>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40</w:t>
            </w:r>
            <w:r>
              <w:rPr>
                <w:rFonts w:ascii="Times New Roman" w:hAnsi="Times New Roman"/>
                <w:szCs w:val="21"/>
                <w:highlight w:val="none"/>
              </w:rPr>
              <w:t>分</w:t>
            </w:r>
          </w:p>
        </w:tc>
        <w:tc>
          <w:tcPr>
            <w:tcW w:w="1134" w:type="dxa"/>
            <w:vMerge w:val="restart"/>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工作</w:t>
            </w:r>
            <w:r>
              <w:rPr>
                <w:rFonts w:ascii="Times New Roman" w:hAnsi="Times New Roman"/>
                <w:sz w:val="21"/>
                <w:szCs w:val="21"/>
                <w:highlight w:val="none"/>
              </w:rPr>
              <w:t>范围、内容、步骤和程序</w:t>
            </w:r>
          </w:p>
        </w:tc>
        <w:tc>
          <w:tcPr>
            <w:tcW w:w="567" w:type="dxa"/>
            <w:vMerge w:val="restart"/>
            <w:noWrap w:val="0"/>
            <w:vAlign w:val="center"/>
          </w:tcPr>
          <w:p>
            <w:pPr>
              <w:pStyle w:val="6"/>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0</w:t>
            </w:r>
          </w:p>
          <w:p>
            <w:pPr>
              <w:pStyle w:val="6"/>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分</w:t>
            </w: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描述</w:t>
            </w:r>
            <w:r>
              <w:rPr>
                <w:rFonts w:hint="eastAsia" w:ascii="Times New Roman" w:hAnsi="Times New Roman"/>
                <w:sz w:val="21"/>
                <w:szCs w:val="21"/>
                <w:highlight w:val="none"/>
              </w:rPr>
              <w:t>一般</w:t>
            </w:r>
            <w:r>
              <w:rPr>
                <w:rFonts w:ascii="Times New Roman" w:hAnsi="Times New Roman"/>
                <w:sz w:val="21"/>
                <w:szCs w:val="21"/>
                <w:highlight w:val="none"/>
              </w:rPr>
              <w:t>，步骤、程序、可行性一般，得</w:t>
            </w:r>
            <w:r>
              <w:rPr>
                <w:rFonts w:hint="eastAsia" w:ascii="Times New Roman" w:hAnsi="Times New Roman"/>
                <w:sz w:val="21"/>
                <w:szCs w:val="21"/>
                <w:highlight w:val="none"/>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624" w:type="dxa"/>
            <w:vMerge w:val="continue"/>
            <w:noWrap w:val="0"/>
            <w:vAlign w:val="center"/>
          </w:tcPr>
          <w:p>
            <w:pPr>
              <w:pStyle w:val="6"/>
              <w:spacing w:line="160" w:lineRule="atLeast"/>
              <w:jc w:val="center"/>
              <w:rPr>
                <w:rFonts w:ascii="Times New Roman" w:hAnsi="Times New Roman"/>
                <w:szCs w:val="21"/>
                <w:highlight w:val="none"/>
              </w:rPr>
            </w:pPr>
          </w:p>
        </w:tc>
        <w:tc>
          <w:tcPr>
            <w:tcW w:w="1134" w:type="dxa"/>
            <w:vMerge w:val="continue"/>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pacing w:val="-4"/>
                <w:sz w:val="21"/>
                <w:szCs w:val="21"/>
                <w:highlight w:val="none"/>
              </w:rPr>
            </w:pPr>
            <w:r>
              <w:rPr>
                <w:rFonts w:ascii="Times New Roman" w:hAnsi="Times New Roman"/>
                <w:sz w:val="21"/>
                <w:szCs w:val="21"/>
                <w:highlight w:val="none"/>
              </w:rPr>
              <w:t>描述较准确、步骤和程序较全面、具备一定可行性</w:t>
            </w:r>
            <w:r>
              <w:rPr>
                <w:rFonts w:ascii="Times New Roman" w:hAnsi="Times New Roman"/>
                <w:spacing w:val="-4"/>
                <w:sz w:val="21"/>
                <w:szCs w:val="21"/>
                <w:highlight w:val="none"/>
              </w:rPr>
              <w:t>，得</w:t>
            </w:r>
            <w:r>
              <w:rPr>
                <w:rFonts w:ascii="Times New Roman" w:hAnsi="Times New Roman"/>
                <w:sz w:val="21"/>
                <w:szCs w:val="21"/>
                <w:highlight w:val="none"/>
              </w:rPr>
              <w:t>6－8</w:t>
            </w:r>
            <w:r>
              <w:rPr>
                <w:rFonts w:ascii="Times New Roman" w:hAnsi="Times New Roman"/>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624" w:type="dxa"/>
            <w:vMerge w:val="continue"/>
            <w:noWrap w:val="0"/>
            <w:vAlign w:val="center"/>
          </w:tcPr>
          <w:p>
            <w:pPr>
              <w:pStyle w:val="6"/>
              <w:spacing w:line="160" w:lineRule="atLeast"/>
              <w:jc w:val="center"/>
              <w:rPr>
                <w:rFonts w:ascii="Times New Roman" w:hAnsi="Times New Roman"/>
                <w:szCs w:val="21"/>
                <w:highlight w:val="none"/>
              </w:rPr>
            </w:pPr>
          </w:p>
        </w:tc>
        <w:tc>
          <w:tcPr>
            <w:tcW w:w="1134" w:type="dxa"/>
            <w:vMerge w:val="continue"/>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center"/>
          </w:tcPr>
          <w:p>
            <w:pPr>
              <w:pStyle w:val="6"/>
              <w:spacing w:line="160" w:lineRule="atLeast"/>
              <w:jc w:val="center"/>
              <w:rPr>
                <w:rFonts w:ascii="Times New Roman" w:hAnsi="Times New Roman"/>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重点及难点分析</w:t>
            </w:r>
          </w:p>
        </w:tc>
        <w:tc>
          <w:tcPr>
            <w:tcW w:w="567" w:type="dxa"/>
            <w:vMerge w:val="restart"/>
            <w:noWrap w:val="0"/>
            <w:vAlign w:val="center"/>
          </w:tcPr>
          <w:p>
            <w:pPr>
              <w:pStyle w:val="6"/>
              <w:spacing w:line="160" w:lineRule="atLeast"/>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一般，得</w:t>
            </w:r>
            <w:r>
              <w:rPr>
                <w:rFonts w:hint="eastAsia" w:ascii="Times New Roman" w:hAnsi="Times New Roman"/>
                <w:sz w:val="21"/>
                <w:szCs w:val="21"/>
                <w:highlight w:val="none"/>
                <w:lang w:val="en-US" w:eastAsia="zh-CN"/>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top"/>
          </w:tcPr>
          <w:p>
            <w:pPr>
              <w:pStyle w:val="6"/>
              <w:spacing w:line="160" w:lineRule="atLeast"/>
              <w:jc w:val="center"/>
              <w:rPr>
                <w:rFonts w:ascii="Times New Roman" w:hAnsi="Times New Roman"/>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top"/>
          </w:tcPr>
          <w:p>
            <w:pPr>
              <w:pStyle w:val="6"/>
              <w:spacing w:line="160" w:lineRule="atLeast"/>
              <w:jc w:val="center"/>
              <w:rPr>
                <w:rFonts w:ascii="Times New Roman" w:hAnsi="Times New Roman"/>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8</w:t>
            </w:r>
            <w:r>
              <w:rPr>
                <w:rFonts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center"/>
          </w:tcPr>
          <w:p>
            <w:pPr>
              <w:pStyle w:val="6"/>
              <w:spacing w:line="160" w:lineRule="atLeast"/>
              <w:jc w:val="center"/>
              <w:rPr>
                <w:rFonts w:ascii="Times New Roman" w:hAnsi="Times New Roman"/>
                <w:szCs w:val="21"/>
                <w:highlight w:val="none"/>
              </w:rPr>
            </w:pPr>
          </w:p>
        </w:tc>
        <w:tc>
          <w:tcPr>
            <w:tcW w:w="1134" w:type="dxa"/>
            <w:vMerge w:val="restart"/>
            <w:noWrap w:val="0"/>
            <w:vAlign w:val="center"/>
          </w:tcPr>
          <w:p>
            <w:pPr>
              <w:pStyle w:val="6"/>
              <w:spacing w:line="160" w:lineRule="atLeast"/>
              <w:ind w:right="-59" w:rightChars="-28"/>
              <w:jc w:val="center"/>
              <w:rPr>
                <w:rFonts w:ascii="Times New Roman" w:hAnsi="Times New Roman"/>
                <w:sz w:val="21"/>
                <w:szCs w:val="21"/>
                <w:highlight w:val="none"/>
              </w:rPr>
            </w:pPr>
            <w:r>
              <w:rPr>
                <w:rFonts w:ascii="Times New Roman" w:hAnsi="Times New Roman"/>
                <w:sz w:val="21"/>
                <w:szCs w:val="21"/>
                <w:highlight w:val="none"/>
              </w:rPr>
              <w:t>工作质量控制方法及措施</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top"/>
          </w:tcPr>
          <w:p>
            <w:pPr>
              <w:pStyle w:val="6"/>
              <w:spacing w:line="160" w:lineRule="atLeast"/>
              <w:jc w:val="center"/>
              <w:rPr>
                <w:rFonts w:ascii="Times New Roman" w:hAnsi="Times New Roman"/>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6</w:t>
            </w:r>
            <w:r>
              <w:rPr>
                <w:rFonts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top"/>
          </w:tcPr>
          <w:p>
            <w:pPr>
              <w:pStyle w:val="6"/>
              <w:spacing w:line="160" w:lineRule="atLeast"/>
              <w:jc w:val="center"/>
              <w:rPr>
                <w:rFonts w:ascii="Times New Roman" w:hAnsi="Times New Roman"/>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8</w:t>
            </w:r>
            <w:r>
              <w:rPr>
                <w:rFonts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center"/>
          </w:tcPr>
          <w:p>
            <w:pPr>
              <w:pStyle w:val="6"/>
              <w:spacing w:line="160" w:lineRule="atLeast"/>
              <w:jc w:val="center"/>
              <w:rPr>
                <w:rFonts w:ascii="Times New Roman" w:hAnsi="Times New Roman"/>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工作进度安排</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top"/>
          </w:tcPr>
          <w:p>
            <w:pPr>
              <w:pStyle w:val="6"/>
              <w:spacing w:line="160" w:lineRule="atLeast"/>
              <w:jc w:val="center"/>
              <w:rPr>
                <w:rFonts w:ascii="Times New Roman" w:hAnsi="Times New Roman"/>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624" w:type="dxa"/>
            <w:vMerge w:val="continue"/>
            <w:noWrap w:val="0"/>
            <w:vAlign w:val="top"/>
          </w:tcPr>
          <w:p>
            <w:pPr>
              <w:pStyle w:val="6"/>
              <w:spacing w:line="160" w:lineRule="atLeast"/>
              <w:jc w:val="center"/>
              <w:rPr>
                <w:rFonts w:ascii="Times New Roman" w:hAnsi="Times New Roman"/>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741" w:type="dxa"/>
            <w:vMerge w:val="continue"/>
            <w:noWrap w:val="0"/>
            <w:vAlign w:val="center"/>
          </w:tcPr>
          <w:p>
            <w:pPr>
              <w:pStyle w:val="6"/>
              <w:spacing w:line="160" w:lineRule="atLeast"/>
              <w:jc w:val="center"/>
              <w:rPr>
                <w:rFonts w:ascii="Times New Roman" w:hAnsi="Times New Roman"/>
                <w:szCs w:val="21"/>
                <w:highlight w:val="none"/>
              </w:rPr>
            </w:pPr>
          </w:p>
        </w:tc>
        <w:tc>
          <w:tcPr>
            <w:tcW w:w="624" w:type="dxa"/>
            <w:vMerge w:val="continue"/>
            <w:noWrap w:val="0"/>
            <w:vAlign w:val="center"/>
          </w:tcPr>
          <w:p>
            <w:pPr>
              <w:pStyle w:val="6"/>
              <w:spacing w:line="160" w:lineRule="atLeast"/>
              <w:jc w:val="center"/>
              <w:rPr>
                <w:rFonts w:ascii="Times New Roman" w:hAnsi="Times New Roman"/>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后续服务的安排及保证措施</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rPr>
                <w:rFonts w:ascii="Times New Roman" w:hAnsi="Times New Roman"/>
                <w:szCs w:val="21"/>
                <w:highlight w:val="none"/>
              </w:rPr>
            </w:pPr>
          </w:p>
        </w:tc>
        <w:tc>
          <w:tcPr>
            <w:tcW w:w="624" w:type="dxa"/>
            <w:vMerge w:val="continue"/>
            <w:noWrap w:val="0"/>
            <w:vAlign w:val="top"/>
          </w:tcPr>
          <w:p>
            <w:pPr>
              <w:pStyle w:val="6"/>
              <w:spacing w:line="160" w:lineRule="atLeast"/>
              <w:rPr>
                <w:rFonts w:ascii="Times New Roman" w:hAnsi="Times New Roman"/>
                <w:szCs w:val="21"/>
                <w:highlight w:val="none"/>
              </w:rPr>
            </w:pPr>
          </w:p>
        </w:tc>
        <w:tc>
          <w:tcPr>
            <w:tcW w:w="1134" w:type="dxa"/>
            <w:vMerge w:val="continue"/>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Cs w:val="21"/>
                <w:highlight w:val="none"/>
              </w:rPr>
            </w:pPr>
          </w:p>
        </w:tc>
        <w:tc>
          <w:tcPr>
            <w:tcW w:w="741" w:type="dxa"/>
            <w:vMerge w:val="continue"/>
            <w:noWrap w:val="0"/>
            <w:vAlign w:val="top"/>
          </w:tcPr>
          <w:p>
            <w:pPr>
              <w:pStyle w:val="6"/>
              <w:spacing w:line="160" w:lineRule="atLeast"/>
              <w:rPr>
                <w:rFonts w:ascii="Times New Roman" w:hAnsi="Times New Roman"/>
                <w:szCs w:val="21"/>
                <w:highlight w:val="none"/>
              </w:rPr>
            </w:pPr>
          </w:p>
        </w:tc>
        <w:tc>
          <w:tcPr>
            <w:tcW w:w="624" w:type="dxa"/>
            <w:vMerge w:val="continue"/>
            <w:noWrap w:val="0"/>
            <w:vAlign w:val="top"/>
          </w:tcPr>
          <w:p>
            <w:pPr>
              <w:pStyle w:val="6"/>
              <w:spacing w:line="160" w:lineRule="atLeast"/>
              <w:rPr>
                <w:rFonts w:ascii="Times New Roman" w:hAnsi="Times New Roman"/>
                <w:szCs w:val="21"/>
                <w:highlight w:val="none"/>
              </w:rPr>
            </w:pPr>
          </w:p>
        </w:tc>
        <w:tc>
          <w:tcPr>
            <w:tcW w:w="1134" w:type="dxa"/>
            <w:vMerge w:val="continue"/>
            <w:tcBorders>
              <w:bottom w:val="single" w:color="auto" w:sz="4" w:space="0"/>
            </w:tcBorders>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tcBorders>
              <w:bottom w:val="single" w:color="auto" w:sz="4" w:space="0"/>
            </w:tcBorders>
            <w:noWrap w:val="0"/>
            <w:vAlign w:val="center"/>
          </w:tcPr>
          <w:p>
            <w:pPr>
              <w:pStyle w:val="6"/>
              <w:spacing w:line="160" w:lineRule="atLeast"/>
              <w:jc w:val="center"/>
              <w:rPr>
                <w:rFonts w:ascii="Times New Roman" w:hAnsi="Times New Roman"/>
                <w:sz w:val="21"/>
                <w:szCs w:val="21"/>
                <w:highlight w:val="none"/>
              </w:rPr>
            </w:pPr>
          </w:p>
        </w:tc>
        <w:tc>
          <w:tcPr>
            <w:tcW w:w="5845" w:type="dxa"/>
            <w:tcBorders>
              <w:bottom w:val="single" w:color="auto" w:sz="4" w:space="0"/>
            </w:tcBorders>
            <w:noWrap w:val="0"/>
            <w:vAlign w:val="center"/>
          </w:tcPr>
          <w:p>
            <w:pPr>
              <w:jc w:val="left"/>
              <w:rPr>
                <w:kern w:val="2"/>
                <w:sz w:val="21"/>
                <w:szCs w:val="21"/>
                <w:highlight w:val="none"/>
              </w:rPr>
            </w:pPr>
            <w:r>
              <w:rPr>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2.2.4（2）</w:t>
            </w:r>
          </w:p>
        </w:tc>
        <w:tc>
          <w:tcPr>
            <w:tcW w:w="741" w:type="dxa"/>
            <w:tcBorders>
              <w:top w:val="nil"/>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主要人员</w:t>
            </w:r>
          </w:p>
        </w:tc>
        <w:tc>
          <w:tcPr>
            <w:tcW w:w="624" w:type="dxa"/>
            <w:tcBorders>
              <w:top w:val="nil"/>
            </w:tcBorders>
            <w:noWrap w:val="0"/>
            <w:vAlign w:val="center"/>
          </w:tcPr>
          <w:p>
            <w:pPr>
              <w:pStyle w:val="6"/>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1134" w:type="dxa"/>
            <w:noWrap w:val="0"/>
            <w:vAlign w:val="center"/>
          </w:tcPr>
          <w:p>
            <w:pPr>
              <w:jc w:val="center"/>
              <w:rPr>
                <w:kern w:val="2"/>
                <w:sz w:val="21"/>
                <w:szCs w:val="21"/>
                <w:highlight w:val="none"/>
              </w:rPr>
            </w:pPr>
            <w:r>
              <w:rPr>
                <w:kern w:val="2"/>
                <w:sz w:val="21"/>
                <w:szCs w:val="21"/>
                <w:highlight w:val="none"/>
              </w:rPr>
              <w:t>项目负责人</w:t>
            </w:r>
          </w:p>
        </w:tc>
        <w:tc>
          <w:tcPr>
            <w:tcW w:w="567" w:type="dxa"/>
            <w:noWrap w:val="0"/>
            <w:vAlign w:val="center"/>
          </w:tcPr>
          <w:p>
            <w:pPr>
              <w:pStyle w:val="6"/>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845" w:type="dxa"/>
            <w:tcBorders>
              <w:bottom w:val="single" w:color="auto" w:sz="4" w:space="0"/>
            </w:tcBorders>
            <w:noWrap w:val="0"/>
            <w:vAlign w:val="center"/>
          </w:tcPr>
          <w:p>
            <w:pPr>
              <w:pStyle w:val="4"/>
              <w:rPr>
                <w:highlight w:val="none"/>
              </w:rPr>
            </w:pPr>
            <w:r>
              <w:rPr>
                <w:sz w:val="21"/>
                <w:highlight w:val="none"/>
              </w:rPr>
              <w:t>投标人满足“资格审查条件（</w:t>
            </w:r>
            <w:r>
              <w:rPr>
                <w:rFonts w:hint="eastAsia"/>
                <w:sz w:val="21"/>
                <w:highlight w:val="none"/>
              </w:rPr>
              <w:t>项目负责人</w:t>
            </w:r>
            <w:r>
              <w:rPr>
                <w:sz w:val="21"/>
                <w:highlight w:val="none"/>
              </w:rPr>
              <w:t>最低要求）”</w:t>
            </w:r>
            <w:r>
              <w:rPr>
                <w:rFonts w:hint="eastAsia"/>
                <w:sz w:val="21"/>
                <w:highlight w:val="none"/>
              </w:rPr>
              <w:t>得</w:t>
            </w:r>
            <w:r>
              <w:rPr>
                <w:rFonts w:hint="eastAsia"/>
                <w:sz w:val="21"/>
                <w:highlight w:val="none"/>
                <w:lang w:val="en-US" w:eastAsia="zh-CN"/>
              </w:rPr>
              <w:t>6</w:t>
            </w:r>
            <w:r>
              <w:rPr>
                <w:rFonts w:hint="eastAsia"/>
                <w:sz w:val="21"/>
                <w:highlight w:val="none"/>
              </w:rPr>
              <w:t>分</w:t>
            </w:r>
            <w:r>
              <w:rPr>
                <w:sz w:val="21"/>
                <w:highlight w:val="none"/>
              </w:rPr>
              <w:t>，每增加1项满足“资格审查条件（</w:t>
            </w:r>
            <w:r>
              <w:rPr>
                <w:rFonts w:hint="eastAsia"/>
                <w:sz w:val="21"/>
                <w:highlight w:val="none"/>
              </w:rPr>
              <w:t>项目负责人</w:t>
            </w:r>
            <w:r>
              <w:rPr>
                <w:sz w:val="21"/>
                <w:highlight w:val="none"/>
              </w:rPr>
              <w:t>最低要求）”的业绩加</w:t>
            </w:r>
            <w:r>
              <w:rPr>
                <w:rFonts w:hint="eastAsia"/>
                <w:sz w:val="21"/>
                <w:highlight w:val="none"/>
                <w:lang w:val="en-US" w:eastAsia="zh-CN"/>
              </w:rPr>
              <w:t>4</w:t>
            </w:r>
            <w:r>
              <w:rPr>
                <w:rFonts w:hint="eastAsia"/>
                <w:sz w:val="21"/>
                <w:highlight w:val="none"/>
              </w:rPr>
              <w:t>分，最多加</w:t>
            </w:r>
            <w:r>
              <w:rPr>
                <w:rFonts w:hint="eastAsia"/>
                <w:sz w:val="21"/>
                <w:highlight w:val="none"/>
                <w:lang w:val="en-US" w:eastAsia="zh-CN"/>
              </w:rPr>
              <w:t>4</w:t>
            </w:r>
            <w:r>
              <w:rPr>
                <w:rFonts w:hint="eastAsia"/>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2.2.4（3）</w:t>
            </w:r>
          </w:p>
        </w:tc>
        <w:tc>
          <w:tcPr>
            <w:tcW w:w="741" w:type="dxa"/>
            <w:tcBorders>
              <w:top w:val="nil"/>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评标价</w:t>
            </w:r>
          </w:p>
        </w:tc>
        <w:tc>
          <w:tcPr>
            <w:tcW w:w="624" w:type="dxa"/>
            <w:tcBorders>
              <w:top w:val="nil"/>
              <w:bottom w:val="single" w:color="auto" w:sz="4" w:space="0"/>
            </w:tcBorders>
            <w:noWrap w:val="0"/>
            <w:vAlign w:val="center"/>
          </w:tcPr>
          <w:p>
            <w:pPr>
              <w:pStyle w:val="6"/>
              <w:spacing w:line="160" w:lineRule="atLeast"/>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0分</w:t>
            </w:r>
          </w:p>
        </w:tc>
        <w:tc>
          <w:tcPr>
            <w:tcW w:w="7546" w:type="dxa"/>
            <w:gridSpan w:val="3"/>
            <w:tcBorders>
              <w:bottom w:val="single" w:color="auto" w:sz="4" w:space="0"/>
            </w:tcBorders>
            <w:noWrap w:val="0"/>
            <w:vAlign w:val="center"/>
          </w:tcPr>
          <w:p>
            <w:pPr>
              <w:rPr>
                <w:kern w:val="2"/>
                <w:sz w:val="21"/>
                <w:szCs w:val="21"/>
                <w:highlight w:val="none"/>
              </w:rPr>
            </w:pPr>
            <w:r>
              <w:rPr>
                <w:kern w:val="2"/>
                <w:sz w:val="21"/>
                <w:szCs w:val="21"/>
                <w:highlight w:val="none"/>
              </w:rPr>
              <w:t>评标价得分计算公式示例：</w:t>
            </w:r>
          </w:p>
          <w:p>
            <w:pPr>
              <w:rPr>
                <w:kern w:val="2"/>
                <w:sz w:val="21"/>
                <w:szCs w:val="21"/>
                <w:highlight w:val="none"/>
              </w:rPr>
            </w:pPr>
            <w:r>
              <w:rPr>
                <w:kern w:val="2"/>
                <w:sz w:val="21"/>
                <w:szCs w:val="21"/>
                <w:highlight w:val="none"/>
              </w:rPr>
              <w:t>（1）如果投标人的评标价＞评标基准价，则评标价得分=F-（投标人评标价-评标基准价）/评标基准价×100×E1；</w:t>
            </w:r>
          </w:p>
          <w:p>
            <w:pPr>
              <w:rPr>
                <w:kern w:val="2"/>
                <w:sz w:val="21"/>
                <w:szCs w:val="21"/>
                <w:highlight w:val="none"/>
              </w:rPr>
            </w:pPr>
            <w:r>
              <w:rPr>
                <w:kern w:val="2"/>
                <w:sz w:val="21"/>
                <w:szCs w:val="21"/>
                <w:highlight w:val="none"/>
              </w:rPr>
              <w:t>（2）如果投标人的评标价≤评标基准价，则评标价得分=F+（投标人评标价-评标基准价）/评标基准价×100×E2。</w:t>
            </w:r>
          </w:p>
          <w:p>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p>
          <w:p>
            <w:pPr>
              <w:jc w:val="left"/>
              <w:rPr>
                <w:kern w:val="2"/>
                <w:sz w:val="21"/>
                <w:szCs w:val="21"/>
                <w:highlight w:val="none"/>
              </w:rPr>
            </w:pPr>
            <w:r>
              <w:rPr>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2.2.4（4）</w:t>
            </w:r>
          </w:p>
        </w:tc>
        <w:tc>
          <w:tcPr>
            <w:tcW w:w="741" w:type="dxa"/>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其他因素</w:t>
            </w:r>
          </w:p>
        </w:tc>
        <w:tc>
          <w:tcPr>
            <w:tcW w:w="624" w:type="dxa"/>
            <w:tcBorders>
              <w:top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0</w:t>
            </w:r>
            <w:r>
              <w:rPr>
                <w:rFonts w:ascii="Times New Roman" w:hAnsi="Times New Roman"/>
                <w:szCs w:val="21"/>
                <w:highlight w:val="none"/>
              </w:rPr>
              <w:t>分</w:t>
            </w:r>
          </w:p>
        </w:tc>
        <w:tc>
          <w:tcPr>
            <w:tcW w:w="1134" w:type="dxa"/>
            <w:tcBorders>
              <w:top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业绩</w:t>
            </w:r>
          </w:p>
        </w:tc>
        <w:tc>
          <w:tcPr>
            <w:tcW w:w="567" w:type="dxa"/>
            <w:tcBorders>
              <w:top w:val="single" w:color="auto" w:sz="4" w:space="0"/>
            </w:tcBorders>
            <w:noWrap w:val="0"/>
            <w:vAlign w:val="center"/>
          </w:tcPr>
          <w:p>
            <w:pPr>
              <w:pStyle w:val="6"/>
              <w:spacing w:line="160" w:lineRule="atLeast"/>
              <w:jc w:val="center"/>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0</w:t>
            </w:r>
            <w:r>
              <w:rPr>
                <w:rFonts w:ascii="Times New Roman" w:hAnsi="Times New Roman"/>
                <w:szCs w:val="21"/>
                <w:highlight w:val="none"/>
              </w:rPr>
              <w:t>分</w:t>
            </w:r>
          </w:p>
        </w:tc>
        <w:tc>
          <w:tcPr>
            <w:tcW w:w="5845" w:type="dxa"/>
            <w:tcBorders>
              <w:top w:val="single" w:color="auto" w:sz="4" w:space="0"/>
            </w:tcBorders>
            <w:noWrap w:val="0"/>
            <w:vAlign w:val="center"/>
          </w:tcPr>
          <w:p>
            <w:pPr>
              <w:rPr>
                <w:kern w:val="2"/>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rPr>
              <w:t>12</w:t>
            </w:r>
            <w:r>
              <w:rPr>
                <w:kern w:val="2"/>
                <w:sz w:val="21"/>
                <w:szCs w:val="21"/>
                <w:highlight w:val="none"/>
              </w:rPr>
              <w:t>分；</w:t>
            </w:r>
          </w:p>
          <w:p>
            <w:pPr>
              <w:rPr>
                <w:sz w:val="21"/>
                <w:szCs w:val="21"/>
                <w:highlight w:val="none"/>
              </w:rPr>
            </w:pPr>
            <w:r>
              <w:rPr>
                <w:kern w:val="2"/>
                <w:sz w:val="21"/>
                <w:szCs w:val="21"/>
                <w:highlight w:val="none"/>
              </w:rPr>
              <w:t>每增加一个满足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的业绩，加</w:t>
            </w:r>
            <w:r>
              <w:rPr>
                <w:rFonts w:hint="eastAsia"/>
                <w:kern w:val="2"/>
                <w:sz w:val="21"/>
                <w:szCs w:val="21"/>
                <w:highlight w:val="none"/>
              </w:rPr>
              <w:t>4</w:t>
            </w:r>
            <w:r>
              <w:rPr>
                <w:kern w:val="2"/>
                <w:sz w:val="21"/>
                <w:szCs w:val="21"/>
                <w:highlight w:val="none"/>
              </w:rPr>
              <w:t>分，最多加</w:t>
            </w:r>
            <w:r>
              <w:rPr>
                <w:rFonts w:hint="eastAsia"/>
                <w:kern w:val="2"/>
                <w:sz w:val="21"/>
                <w:szCs w:val="21"/>
                <w:highlight w:val="none"/>
              </w:rPr>
              <w:t>8</w:t>
            </w:r>
            <w:r>
              <w:rPr>
                <w:kern w:val="2"/>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6734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Times New Roman" w:hAnsi="Times New Roman"/>
      <w:szCs w:val="24"/>
    </w:rPr>
  </w:style>
  <w:style w:type="paragraph" w:styleId="5">
    <w:name w:val="Body Text 2"/>
    <w:basedOn w:val="1"/>
    <w:qFormat/>
    <w:uiPriority w:val="0"/>
    <w:rPr>
      <w:sz w:val="28"/>
      <w:szCs w:val="20"/>
    </w:rPr>
  </w:style>
  <w:style w:type="paragraph" w:styleId="6">
    <w:name w:val="Plain Text"/>
    <w:basedOn w:val="1"/>
    <w:qFormat/>
    <w:uiPriority w:val="0"/>
    <w:rPr>
      <w:rFonts w:ascii="宋体" w:hAnsi="Courier New"/>
      <w:kern w:val="0"/>
      <w:sz w:val="20"/>
      <w:szCs w:val="20"/>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qFormat/>
    <w:uiPriority w:val="0"/>
    <w:pPr>
      <w:ind w:firstLine="420"/>
    </w:pPr>
  </w:style>
  <w:style w:type="paragraph" w:customStyle="1" w:styleId="13">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2024-09-30T10:57:54Z</dcterms:created>
  <dc:creator>Administrator</dc:creator>
  <cp:lastModifiedBy>李娜</cp:lastModifiedBy>
  <dcterms:modified xsi:type="dcterms:W3CDTF">2024-09-30T10:58:05Z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0C674B60AD454BA6BA81ABCE5555E1F9_12</vt:lpwstr>
  </property>
</Properties>
</file>