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F2B8D">
      <w:pPr>
        <w:spacing w:line="420" w:lineRule="exact"/>
        <w:textAlignment w:val="baseline"/>
        <w:rPr>
          <w:rFonts w:ascii="Times New Roman" w:hAnsi="Times New Roman"/>
          <w:highlight w:val="none"/>
        </w:rPr>
      </w:pPr>
      <w:bookmarkStart w:id="0" w:name="_Toc134896103"/>
      <w:r>
        <w:rPr>
          <w:rFonts w:ascii="Times New Roman" w:hAnsi="Times New Roman"/>
          <w:b/>
          <w:bCs/>
          <w:sz w:val="24"/>
          <w:szCs w:val="24"/>
          <w:highlight w:val="none"/>
        </w:rPr>
        <w:t>附件1：资格审查条件</w:t>
      </w:r>
      <w:bookmarkEnd w:id="0"/>
    </w:p>
    <w:p w14:paraId="7D196A1E">
      <w:pPr>
        <w:rPr>
          <w:rFonts w:ascii="Times New Roman" w:hAnsi="Times New Roman"/>
          <w:sz w:val="24"/>
          <w:szCs w:val="24"/>
          <w:highlight w:val="none"/>
        </w:rPr>
      </w:pPr>
    </w:p>
    <w:p w14:paraId="78EF7E1C">
      <w:pPr>
        <w:rPr>
          <w:rFonts w:ascii="Times New Roman" w:hAnsi="Times New Roman"/>
          <w:sz w:val="24"/>
          <w:szCs w:val="24"/>
          <w:highlight w:val="none"/>
        </w:rPr>
      </w:pPr>
    </w:p>
    <w:p w14:paraId="021B1C1C">
      <w:pPr>
        <w:adjustRightInd w:val="0"/>
        <w:snapToGrid w:val="0"/>
        <w:spacing w:line="276" w:lineRule="auto"/>
        <w:jc w:val="center"/>
        <w:rPr>
          <w:rFonts w:ascii="Times New Roman" w:hAnsi="Times New Roman"/>
          <w:snapToGrid w:val="0"/>
          <w:kern w:val="0"/>
          <w:sz w:val="24"/>
          <w:highlight w:val="none"/>
        </w:rPr>
      </w:pPr>
      <w:r>
        <w:rPr>
          <w:rFonts w:ascii="Times New Roman" w:hAnsi="Times New Roman"/>
          <w:snapToGrid w:val="0"/>
          <w:kern w:val="0"/>
          <w:sz w:val="24"/>
          <w:highlight w:val="none"/>
        </w:rPr>
        <w:t>附录1  资格审查条件（资质最低要求）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14:paraId="5A41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26103751">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资质要求</w:t>
            </w:r>
          </w:p>
        </w:tc>
      </w:tr>
      <w:tr w14:paraId="636C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9"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728651A8">
            <w:pPr>
              <w:pStyle w:val="9"/>
              <w:adjustRightInd w:val="0"/>
              <w:snapToGrid w:val="0"/>
              <w:spacing w:line="276" w:lineRule="auto"/>
              <w:jc w:val="left"/>
              <w:rPr>
                <w:rStyle w:val="7"/>
                <w:rFonts w:ascii="Times New Roman" w:hAnsi="Times New Roman"/>
                <w:bCs w:val="0"/>
                <w:snapToGrid w:val="0"/>
                <w:color w:val="auto"/>
                <w:sz w:val="24"/>
                <w:szCs w:val="24"/>
                <w:highlight w:val="none"/>
              </w:rPr>
            </w:pPr>
            <w:r>
              <w:rPr>
                <w:rStyle w:val="7"/>
                <w:rFonts w:ascii="Times New Roman" w:hAnsi="Times New Roman"/>
                <w:bCs w:val="0"/>
                <w:snapToGrid w:val="0"/>
                <w:color w:val="auto"/>
                <w:sz w:val="24"/>
                <w:szCs w:val="24"/>
                <w:highlight w:val="none"/>
              </w:rPr>
              <w:t>1、具有独立法人资格，持有有效的营业执照；</w:t>
            </w:r>
          </w:p>
          <w:p w14:paraId="777E0866">
            <w:pPr>
              <w:pStyle w:val="9"/>
              <w:adjustRightInd w:val="0"/>
              <w:snapToGrid w:val="0"/>
              <w:spacing w:line="276" w:lineRule="auto"/>
              <w:jc w:val="left"/>
              <w:rPr>
                <w:rStyle w:val="7"/>
                <w:rFonts w:hint="eastAsia" w:ascii="Times New Roman" w:hAnsi="Times New Roman" w:eastAsia="宋体"/>
                <w:bCs w:val="0"/>
                <w:snapToGrid w:val="0"/>
                <w:color w:val="auto"/>
                <w:sz w:val="24"/>
                <w:szCs w:val="24"/>
                <w:highlight w:val="none"/>
                <w:lang w:eastAsia="zh-CN"/>
              </w:rPr>
            </w:pPr>
            <w:r>
              <w:rPr>
                <w:rStyle w:val="7"/>
                <w:rFonts w:ascii="Times New Roman" w:hAnsi="Times New Roman"/>
                <w:bCs w:val="0"/>
                <w:snapToGrid w:val="0"/>
                <w:color w:val="auto"/>
                <w:sz w:val="24"/>
                <w:szCs w:val="24"/>
                <w:highlight w:val="none"/>
              </w:rPr>
              <w:t>2、具有国家认证认可监督管理委员会颁发的认证机构批准书。</w:t>
            </w:r>
          </w:p>
        </w:tc>
      </w:tr>
    </w:tbl>
    <w:p w14:paraId="6364C359">
      <w:pPr>
        <w:adjustRightInd w:val="0"/>
        <w:snapToGrid w:val="0"/>
        <w:spacing w:line="276" w:lineRule="auto"/>
        <w:jc w:val="center"/>
        <w:rPr>
          <w:rFonts w:ascii="Times New Roman" w:hAnsi="Times New Roman"/>
          <w:snapToGrid w:val="0"/>
          <w:kern w:val="0"/>
          <w:sz w:val="24"/>
          <w:highlight w:val="none"/>
        </w:rPr>
      </w:pPr>
    </w:p>
    <w:p w14:paraId="4051817B">
      <w:pPr>
        <w:adjustRightInd w:val="0"/>
        <w:snapToGrid w:val="0"/>
        <w:spacing w:line="276" w:lineRule="auto"/>
        <w:jc w:val="center"/>
        <w:rPr>
          <w:rFonts w:ascii="Times New Roman" w:hAnsi="Times New Roman"/>
          <w:snapToGrid w:val="0"/>
          <w:kern w:val="0"/>
          <w:sz w:val="24"/>
          <w:highlight w:val="none"/>
        </w:rPr>
      </w:pPr>
    </w:p>
    <w:p w14:paraId="7299F8B5">
      <w:pPr>
        <w:adjustRightInd w:val="0"/>
        <w:snapToGrid w:val="0"/>
        <w:spacing w:line="276" w:lineRule="auto"/>
        <w:jc w:val="center"/>
        <w:rPr>
          <w:rFonts w:ascii="Times New Roman" w:hAnsi="Times New Roman"/>
          <w:snapToGrid w:val="0"/>
          <w:kern w:val="0"/>
          <w:sz w:val="24"/>
          <w:highlight w:val="none"/>
        </w:rPr>
      </w:pPr>
      <w:r>
        <w:rPr>
          <w:rFonts w:ascii="Times New Roman" w:hAnsi="Times New Roman"/>
          <w:snapToGrid w:val="0"/>
          <w:kern w:val="0"/>
          <w:sz w:val="24"/>
          <w:highlight w:val="none"/>
        </w:rPr>
        <w:t>附录2  资格审查条件（业绩最低要求）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14:paraId="3AAD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7C5827B0">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业绩要求</w:t>
            </w:r>
          </w:p>
        </w:tc>
      </w:tr>
      <w:tr w14:paraId="3E68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7C5AE0CD">
            <w:pPr>
              <w:pStyle w:val="9"/>
              <w:adjustRightInd w:val="0"/>
              <w:snapToGrid w:val="0"/>
              <w:spacing w:line="276" w:lineRule="auto"/>
              <w:ind w:firstLine="480" w:firstLineChars="200"/>
              <w:jc w:val="left"/>
              <w:rPr>
                <w:rStyle w:val="7"/>
                <w:rFonts w:ascii="Times New Roman" w:hAnsi="Times New Roman"/>
                <w:bCs w:val="0"/>
                <w:snapToGrid w:val="0"/>
                <w:color w:val="auto"/>
                <w:sz w:val="24"/>
                <w:szCs w:val="24"/>
                <w:highlight w:val="none"/>
              </w:rPr>
            </w:pPr>
            <w:r>
              <w:rPr>
                <w:rStyle w:val="7"/>
                <w:rFonts w:ascii="Times New Roman" w:hAnsi="Times New Roman"/>
                <w:bCs w:val="0"/>
                <w:snapToGrid w:val="0"/>
                <w:color w:val="auto"/>
                <w:sz w:val="24"/>
                <w:szCs w:val="24"/>
                <w:highlight w:val="none"/>
              </w:rPr>
              <w:t>近三年（2021年</w:t>
            </w:r>
            <w:r>
              <w:rPr>
                <w:rStyle w:val="7"/>
                <w:rFonts w:hint="eastAsia" w:ascii="Times New Roman" w:hAnsi="Times New Roman"/>
                <w:bCs w:val="0"/>
                <w:snapToGrid w:val="0"/>
                <w:color w:val="auto"/>
                <w:sz w:val="24"/>
                <w:szCs w:val="24"/>
                <w:highlight w:val="none"/>
                <w:lang w:eastAsia="zh-CN"/>
              </w:rPr>
              <w:t>11月1日</w:t>
            </w:r>
            <w:r>
              <w:rPr>
                <w:rStyle w:val="7"/>
                <w:rFonts w:ascii="Times New Roman" w:hAnsi="Times New Roman"/>
                <w:bCs w:val="0"/>
                <w:snapToGrid w:val="0"/>
                <w:color w:val="auto"/>
                <w:sz w:val="24"/>
                <w:szCs w:val="24"/>
                <w:highlight w:val="none"/>
              </w:rPr>
              <w:t>至投标截止时间，以合同签订时间为准）</w:t>
            </w:r>
            <w:r>
              <w:rPr>
                <w:rStyle w:val="7"/>
                <w:rFonts w:hint="eastAsia" w:ascii="Times New Roman" w:hAnsi="Times New Roman"/>
                <w:snapToGrid w:val="0"/>
                <w:color w:val="auto"/>
                <w:sz w:val="24"/>
                <w:highlight w:val="none"/>
              </w:rPr>
              <w:t>至少</w:t>
            </w:r>
            <w:r>
              <w:rPr>
                <w:rStyle w:val="7"/>
                <w:rFonts w:hint="eastAsia" w:ascii="Times New Roman" w:hAnsi="Times New Roman"/>
                <w:snapToGrid w:val="0"/>
                <w:color w:val="auto"/>
                <w:sz w:val="24"/>
                <w:highlight w:val="none"/>
                <w:lang w:val="en-US" w:eastAsia="zh-CN"/>
              </w:rPr>
              <w:t>承揽</w:t>
            </w:r>
            <w:r>
              <w:rPr>
                <w:rStyle w:val="7"/>
                <w:rFonts w:hint="eastAsia" w:ascii="Times New Roman" w:hAnsi="Times New Roman"/>
                <w:snapToGrid w:val="0"/>
                <w:color w:val="auto"/>
                <w:sz w:val="24"/>
                <w:highlight w:val="none"/>
              </w:rPr>
              <w:t>过1个</w:t>
            </w:r>
            <w:r>
              <w:rPr>
                <w:rStyle w:val="7"/>
                <w:rFonts w:hint="eastAsia" w:ascii="Times New Roman" w:hAnsi="Times New Roman"/>
                <w:snapToGrid w:val="0"/>
                <w:color w:val="auto"/>
                <w:sz w:val="24"/>
                <w:highlight w:val="none"/>
                <w:lang w:val="en-US" w:eastAsia="zh-CN"/>
              </w:rPr>
              <w:t>项目的</w:t>
            </w:r>
            <w:r>
              <w:rPr>
                <w:rStyle w:val="7"/>
                <w:rFonts w:hint="eastAsia" w:ascii="Times New Roman" w:hAnsi="Times New Roman"/>
                <w:snapToGrid w:val="0"/>
                <w:color w:val="auto"/>
                <w:sz w:val="24"/>
                <w:highlight w:val="none"/>
              </w:rPr>
              <w:t>碳中和或零（低）碳评价认证。</w:t>
            </w:r>
          </w:p>
        </w:tc>
      </w:tr>
    </w:tbl>
    <w:p w14:paraId="50499AE9">
      <w:pPr>
        <w:adjustRightInd w:val="0"/>
        <w:snapToGrid w:val="0"/>
        <w:spacing w:line="276" w:lineRule="auto"/>
        <w:jc w:val="center"/>
        <w:rPr>
          <w:rFonts w:ascii="Times New Roman" w:hAnsi="Times New Roman"/>
          <w:snapToGrid w:val="0"/>
          <w:kern w:val="0"/>
          <w:sz w:val="24"/>
          <w:highlight w:val="none"/>
        </w:rPr>
      </w:pPr>
    </w:p>
    <w:p w14:paraId="48A5D4AF">
      <w:pPr>
        <w:adjustRightInd w:val="0"/>
        <w:snapToGrid w:val="0"/>
        <w:spacing w:line="276" w:lineRule="auto"/>
        <w:jc w:val="center"/>
        <w:rPr>
          <w:rFonts w:ascii="Times New Roman" w:hAnsi="Times New Roman"/>
          <w:snapToGrid w:val="0"/>
          <w:kern w:val="0"/>
          <w:sz w:val="24"/>
          <w:highlight w:val="none"/>
        </w:rPr>
      </w:pPr>
    </w:p>
    <w:p w14:paraId="2810A49F">
      <w:pPr>
        <w:adjustRightInd w:val="0"/>
        <w:snapToGrid w:val="0"/>
        <w:spacing w:line="276" w:lineRule="auto"/>
        <w:jc w:val="center"/>
        <w:rPr>
          <w:rFonts w:ascii="Times New Roman" w:hAnsi="Times New Roman"/>
          <w:snapToGrid w:val="0"/>
          <w:kern w:val="0"/>
          <w:sz w:val="24"/>
          <w:highlight w:val="none"/>
        </w:rPr>
      </w:pPr>
      <w:r>
        <w:rPr>
          <w:rFonts w:ascii="Times New Roman" w:hAnsi="Times New Roman"/>
          <w:snapToGrid w:val="0"/>
          <w:kern w:val="0"/>
          <w:sz w:val="24"/>
          <w:highlight w:val="none"/>
        </w:rPr>
        <w:t>附录3  资格审查条件（信誉最低要求）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14:paraId="75AA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5E14F54A">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信誉要求</w:t>
            </w:r>
          </w:p>
        </w:tc>
      </w:tr>
      <w:tr w14:paraId="0CC5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3"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2F34419F">
            <w:pPr>
              <w:pStyle w:val="10"/>
              <w:spacing w:after="0"/>
              <w:ind w:firstLine="480"/>
              <w:rPr>
                <w:rStyle w:val="7"/>
                <w:rFonts w:ascii="Times New Roman" w:hAnsi="Times New Roman"/>
                <w:snapToGrid w:val="0"/>
                <w:sz w:val="24"/>
                <w:szCs w:val="32"/>
                <w:highlight w:val="none"/>
                <w:lang w:val="en-US" w:bidi="ar"/>
              </w:rPr>
            </w:pPr>
            <w:r>
              <w:rPr>
                <w:rStyle w:val="7"/>
                <w:rFonts w:hint="eastAsia" w:hAnsi="宋体" w:cs="宋体"/>
                <w:snapToGrid w:val="0"/>
                <w:sz w:val="24"/>
                <w:szCs w:val="24"/>
                <w:highlight w:val="none"/>
                <w:lang w:val="en-US" w:bidi="ar-SA"/>
              </w:rPr>
              <w:t>投标人在过去1年中（2023年</w:t>
            </w:r>
            <w:r>
              <w:rPr>
                <w:rStyle w:val="7"/>
                <w:rFonts w:hint="eastAsia" w:hAnsi="宋体" w:cs="宋体"/>
                <w:snapToGrid w:val="0"/>
                <w:sz w:val="24"/>
                <w:szCs w:val="24"/>
                <w:highlight w:val="none"/>
                <w:lang w:val="en-US" w:eastAsia="zh-CN" w:bidi="ar-SA"/>
              </w:rPr>
              <w:t>11月1日</w:t>
            </w:r>
            <w:r>
              <w:rPr>
                <w:rStyle w:val="7"/>
                <w:rFonts w:hint="eastAsia" w:hAnsi="宋体" w:cs="宋体"/>
                <w:snapToGrid w:val="0"/>
                <w:sz w:val="24"/>
                <w:szCs w:val="24"/>
                <w:highlight w:val="none"/>
                <w:lang w:val="en-US" w:bidi="ar-SA"/>
              </w:rPr>
              <w:t>至投标截止时间）不曾在碳中和或零</w:t>
            </w:r>
            <w:r>
              <w:rPr>
                <w:rStyle w:val="7"/>
                <w:rFonts w:hint="eastAsia" w:ascii="Times New Roman" w:hAnsi="Times New Roman"/>
                <w:bCs/>
                <w:snapToGrid w:val="0"/>
                <w:sz w:val="24"/>
                <w:highlight w:val="none"/>
                <w:lang w:val="en-US"/>
              </w:rPr>
              <w:t>（低）</w:t>
            </w:r>
            <w:r>
              <w:rPr>
                <w:rStyle w:val="7"/>
                <w:rFonts w:hint="eastAsia" w:hAnsi="宋体" w:cs="宋体"/>
                <w:snapToGrid w:val="0"/>
                <w:sz w:val="24"/>
                <w:szCs w:val="24"/>
                <w:highlight w:val="none"/>
                <w:lang w:val="en-US" w:bidi="ar-SA"/>
              </w:rPr>
              <w:t>碳评价认证服务合同中违约被逐或因投标人自身的原因而使合同被解除。</w:t>
            </w:r>
          </w:p>
        </w:tc>
      </w:tr>
    </w:tbl>
    <w:p w14:paraId="76F02346">
      <w:pPr>
        <w:adjustRightInd w:val="0"/>
        <w:snapToGrid w:val="0"/>
        <w:spacing w:line="276" w:lineRule="auto"/>
        <w:jc w:val="center"/>
        <w:rPr>
          <w:rFonts w:ascii="Times New Roman" w:hAnsi="Times New Roman"/>
          <w:snapToGrid w:val="0"/>
          <w:kern w:val="0"/>
          <w:sz w:val="24"/>
          <w:highlight w:val="none"/>
        </w:rPr>
      </w:pPr>
    </w:p>
    <w:p w14:paraId="39F7FBB6">
      <w:pPr>
        <w:adjustRightInd w:val="0"/>
        <w:snapToGrid w:val="0"/>
        <w:spacing w:line="276" w:lineRule="auto"/>
        <w:jc w:val="center"/>
        <w:rPr>
          <w:rFonts w:ascii="Times New Roman" w:hAnsi="Times New Roman"/>
          <w:snapToGrid w:val="0"/>
          <w:kern w:val="0"/>
          <w:sz w:val="24"/>
          <w:highlight w:val="none"/>
        </w:rPr>
      </w:pPr>
    </w:p>
    <w:p w14:paraId="358469F9">
      <w:pPr>
        <w:adjustRightInd w:val="0"/>
        <w:snapToGrid w:val="0"/>
        <w:spacing w:line="276" w:lineRule="auto"/>
        <w:jc w:val="center"/>
        <w:rPr>
          <w:rFonts w:ascii="Times New Roman" w:hAnsi="Times New Roman"/>
          <w:snapToGrid w:val="0"/>
          <w:kern w:val="0"/>
          <w:sz w:val="24"/>
          <w:highlight w:val="none"/>
        </w:rPr>
      </w:pPr>
      <w:r>
        <w:rPr>
          <w:rFonts w:ascii="Times New Roman" w:hAnsi="Times New Roman"/>
          <w:snapToGrid w:val="0"/>
          <w:kern w:val="0"/>
          <w:sz w:val="24"/>
          <w:highlight w:val="none"/>
        </w:rPr>
        <w:t>附录4  资格审查条件（</w:t>
      </w:r>
      <w:r>
        <w:rPr>
          <w:rFonts w:hint="eastAsia" w:ascii="Times New Roman" w:hAnsi="Times New Roman"/>
          <w:snapToGrid w:val="0"/>
          <w:kern w:val="0"/>
          <w:sz w:val="24"/>
          <w:highlight w:val="none"/>
        </w:rPr>
        <w:t>项目负责人</w:t>
      </w:r>
      <w:r>
        <w:rPr>
          <w:rFonts w:ascii="Times New Roman" w:hAnsi="Times New Roman"/>
          <w:snapToGrid w:val="0"/>
          <w:kern w:val="0"/>
          <w:sz w:val="24"/>
          <w:highlight w:val="none"/>
        </w:rPr>
        <w:t>最低要求）</w:t>
      </w:r>
    </w:p>
    <w:tbl>
      <w:tblPr>
        <w:tblStyle w:val="5"/>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3"/>
        <w:gridCol w:w="798"/>
        <w:gridCol w:w="6124"/>
      </w:tblGrid>
      <w:tr w14:paraId="5346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14:paraId="4626386B">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14:paraId="7E523D8C">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数量</w:t>
            </w:r>
          </w:p>
        </w:tc>
        <w:tc>
          <w:tcPr>
            <w:tcW w:w="3592" w:type="pct"/>
            <w:tcBorders>
              <w:top w:val="single" w:color="000000" w:sz="2" w:space="0"/>
              <w:left w:val="single" w:color="auto" w:sz="4" w:space="0"/>
              <w:bottom w:val="single" w:color="000000" w:sz="2" w:space="0"/>
              <w:right w:val="single" w:color="000000" w:sz="2" w:space="0"/>
            </w:tcBorders>
            <w:vAlign w:val="center"/>
          </w:tcPr>
          <w:p w14:paraId="25E49194">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资格要求</w:t>
            </w:r>
          </w:p>
        </w:tc>
      </w:tr>
      <w:tr w14:paraId="2718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40" w:type="pct"/>
            <w:tcBorders>
              <w:top w:val="single" w:color="000000" w:sz="2" w:space="0"/>
              <w:left w:val="single" w:color="auto" w:sz="4" w:space="0"/>
              <w:bottom w:val="single" w:color="000000" w:sz="2" w:space="0"/>
              <w:right w:val="single" w:color="000000" w:sz="2" w:space="0"/>
            </w:tcBorders>
            <w:vAlign w:val="center"/>
          </w:tcPr>
          <w:p w14:paraId="46B39F8B">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hint="eastAsia" w:ascii="Times New Roman" w:hAnsi="Times New Roman"/>
                <w:snapToGrid w:val="0"/>
                <w:sz w:val="24"/>
                <w:highlight w:val="none"/>
              </w:rPr>
              <w:t>项目负责人</w:t>
            </w:r>
          </w:p>
        </w:tc>
        <w:tc>
          <w:tcPr>
            <w:tcW w:w="468" w:type="pct"/>
            <w:tcBorders>
              <w:top w:val="single" w:color="000000" w:sz="2" w:space="0"/>
              <w:left w:val="single" w:color="auto" w:sz="4" w:space="0"/>
              <w:bottom w:val="single" w:color="000000" w:sz="2" w:space="0"/>
              <w:right w:val="single" w:color="000000" w:sz="2" w:space="0"/>
            </w:tcBorders>
            <w:vAlign w:val="center"/>
          </w:tcPr>
          <w:p w14:paraId="5EA90AAB">
            <w:pPr>
              <w:adjustRightInd w:val="0"/>
              <w:snapToGrid w:val="0"/>
              <w:spacing w:line="276" w:lineRule="auto"/>
              <w:jc w:val="center"/>
              <w:textAlignment w:val="baseline"/>
              <w:rPr>
                <w:rStyle w:val="7"/>
                <w:rFonts w:ascii="Times New Roman" w:hAnsi="Times New Roman"/>
                <w:snapToGrid w:val="0"/>
                <w:sz w:val="24"/>
                <w:highlight w:val="none"/>
              </w:rPr>
            </w:pPr>
            <w:r>
              <w:rPr>
                <w:rStyle w:val="7"/>
                <w:rFonts w:ascii="Times New Roman" w:hAnsi="Times New Roman"/>
                <w:snapToGrid w:val="0"/>
                <w:sz w:val="24"/>
                <w:highlight w:val="none"/>
              </w:rPr>
              <w:t>1</w:t>
            </w:r>
          </w:p>
        </w:tc>
        <w:tc>
          <w:tcPr>
            <w:tcW w:w="3592" w:type="pct"/>
            <w:tcBorders>
              <w:top w:val="single" w:color="000000" w:sz="2" w:space="0"/>
              <w:left w:val="single" w:color="auto" w:sz="4" w:space="0"/>
              <w:bottom w:val="single" w:color="000000" w:sz="2" w:space="0"/>
              <w:right w:val="single" w:color="000000" w:sz="2" w:space="0"/>
            </w:tcBorders>
            <w:vAlign w:val="center"/>
          </w:tcPr>
          <w:p w14:paraId="2BA08A8C">
            <w:pPr>
              <w:adjustRightInd w:val="0"/>
              <w:snapToGrid w:val="0"/>
              <w:spacing w:line="276" w:lineRule="auto"/>
              <w:textAlignment w:val="baseline"/>
              <w:rPr>
                <w:rStyle w:val="7"/>
                <w:rFonts w:ascii="Times New Roman" w:hAnsi="Times New Roman"/>
                <w:snapToGrid w:val="0"/>
                <w:sz w:val="24"/>
                <w:highlight w:val="none"/>
              </w:rPr>
            </w:pPr>
            <w:r>
              <w:rPr>
                <w:rStyle w:val="7"/>
                <w:rFonts w:hint="eastAsia" w:ascii="Times New Roman" w:hAnsi="Times New Roman"/>
                <w:bCs/>
                <w:snapToGrid w:val="0"/>
                <w:sz w:val="24"/>
                <w:highlight w:val="none"/>
              </w:rPr>
              <w:t>项目负责人具有高级及以上技术职称。</w:t>
            </w:r>
          </w:p>
        </w:tc>
      </w:tr>
    </w:tbl>
    <w:p w14:paraId="3CE93CFA">
      <w:pPr>
        <w:widowControl/>
        <w:jc w:val="left"/>
        <w:rPr>
          <w:rFonts w:ascii="Times New Roman" w:hAnsi="Times New Roman"/>
          <w:spacing w:val="-8"/>
          <w:sz w:val="24"/>
          <w:szCs w:val="24"/>
          <w:highlight w:val="none"/>
        </w:rPr>
      </w:pPr>
      <w:r>
        <w:rPr>
          <w:rFonts w:ascii="Times New Roman" w:hAnsi="Times New Roman"/>
          <w:highlight w:val="none"/>
        </w:rPr>
        <w:br w:type="page"/>
      </w:r>
      <w:bookmarkStart w:id="1" w:name="_Toc134896104"/>
    </w:p>
    <w:p w14:paraId="4FB4F3E7">
      <w:pPr>
        <w:pStyle w:val="3"/>
        <w:snapToGrid w:val="0"/>
        <w:spacing w:before="156" w:beforeLines="50" w:after="156" w:afterLines="50" w:line="240" w:lineRule="auto"/>
        <w:rPr>
          <w:rFonts w:ascii="Times New Roman" w:hAnsi="Times New Roman"/>
          <w:sz w:val="24"/>
          <w:szCs w:val="24"/>
          <w:highlight w:val="none"/>
        </w:rPr>
      </w:pPr>
      <w:r>
        <w:rPr>
          <w:rFonts w:ascii="Times New Roman" w:hAnsi="Times New Roman"/>
          <w:sz w:val="24"/>
          <w:szCs w:val="24"/>
          <w:highlight w:val="none"/>
        </w:rPr>
        <w:t>附件2：评标办法</w:t>
      </w:r>
      <w:bookmarkEnd w:id="1"/>
    </w:p>
    <w:p w14:paraId="1511DBFA">
      <w:pPr>
        <w:pStyle w:val="3"/>
        <w:snapToGrid w:val="0"/>
        <w:spacing w:before="120" w:after="120" w:line="240" w:lineRule="auto"/>
        <w:rPr>
          <w:rFonts w:ascii="Times New Roman" w:hAnsi="Times New Roman"/>
          <w:sz w:val="24"/>
          <w:szCs w:val="24"/>
          <w:highlight w:val="none"/>
        </w:rPr>
      </w:pPr>
      <w:bookmarkStart w:id="2" w:name="_Toc66984522"/>
      <w:bookmarkStart w:id="3" w:name="_Toc65820978"/>
      <w:bookmarkStart w:id="4" w:name="_Toc65857110"/>
      <w:bookmarkStart w:id="5" w:name="_Toc134896105"/>
      <w:bookmarkStart w:id="6" w:name="_Toc66337244"/>
      <w:r>
        <w:rPr>
          <w:rFonts w:ascii="Times New Roman" w:hAnsi="Times New Roman"/>
          <w:sz w:val="24"/>
          <w:szCs w:val="24"/>
          <w:highlight w:val="none"/>
        </w:rPr>
        <w:t>评标办法前附表</w:t>
      </w:r>
      <w:bookmarkEnd w:id="2"/>
      <w:bookmarkEnd w:id="3"/>
      <w:bookmarkEnd w:id="4"/>
      <w:bookmarkEnd w:id="5"/>
      <w:bookmarkEnd w:id="6"/>
    </w:p>
    <w:tbl>
      <w:tblPr>
        <w:tblStyle w:val="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1"/>
        <w:gridCol w:w="7"/>
      </w:tblGrid>
      <w:tr w14:paraId="24C4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gridSpan w:val="2"/>
            <w:vAlign w:val="center"/>
          </w:tcPr>
          <w:p w14:paraId="7BD7F320">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648" w:type="dxa"/>
            <w:gridSpan w:val="2"/>
            <w:vAlign w:val="center"/>
          </w:tcPr>
          <w:p w14:paraId="1F5FE97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09B6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6122EA0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41" w:type="dxa"/>
            <w:vAlign w:val="center"/>
          </w:tcPr>
          <w:p w14:paraId="2DFCD3E8">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641" w:type="dxa"/>
            <w:vAlign w:val="center"/>
          </w:tcPr>
          <w:p w14:paraId="7DFDA700">
            <w:pPr>
              <w:keepNext w:val="0"/>
              <w:keepLines w:val="0"/>
              <w:pageBreakBefore w:val="0"/>
              <w:widowControl w:val="0"/>
              <w:kinsoku/>
              <w:wordWrap/>
              <w:overflowPunct/>
              <w:topLinePunct w:val="0"/>
              <w:bidi w:val="0"/>
              <w:snapToGrid w:val="0"/>
              <w:spacing w:line="32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157248D">
            <w:pPr>
              <w:keepNext w:val="0"/>
              <w:keepLines w:val="0"/>
              <w:pageBreakBefore w:val="0"/>
              <w:widowControl w:val="0"/>
              <w:kinsoku/>
              <w:wordWrap/>
              <w:overflowPunct/>
              <w:topLinePunct w:val="0"/>
              <w:bidi w:val="0"/>
              <w:snapToGrid w:val="0"/>
              <w:spacing w:line="32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14:paraId="4041C596">
            <w:pPr>
              <w:keepNext w:val="0"/>
              <w:keepLines w:val="0"/>
              <w:pageBreakBefore w:val="0"/>
              <w:widowControl w:val="0"/>
              <w:kinsoku/>
              <w:wordWrap/>
              <w:overflowPunct/>
              <w:topLinePunct w:val="0"/>
              <w:bidi w:val="0"/>
              <w:snapToGrid w:val="0"/>
              <w:spacing w:line="32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（2）技术建议书得分较高的投标人优先。；</w:t>
            </w:r>
          </w:p>
          <w:p w14:paraId="551B33D8">
            <w:pPr>
              <w:keepNext w:val="0"/>
              <w:keepLines w:val="0"/>
              <w:pageBreakBefore w:val="0"/>
              <w:widowControl w:val="0"/>
              <w:kinsoku/>
              <w:wordWrap/>
              <w:overflowPunct/>
              <w:topLinePunct w:val="0"/>
              <w:bidi w:val="0"/>
              <w:snapToGrid w:val="0"/>
              <w:spacing w:line="32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（3）投标文件中满足附录2资格审查条件(业绩最低要求) 的业绩数量多的优先。</w:t>
            </w:r>
          </w:p>
        </w:tc>
      </w:tr>
      <w:tr w14:paraId="538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0AE92920">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1885AC23">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41" w:type="dxa"/>
            <w:vAlign w:val="center"/>
          </w:tcPr>
          <w:p w14:paraId="23A64589">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641" w:type="dxa"/>
          </w:tcPr>
          <w:p w14:paraId="4C27F1CB">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3136D86A">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7FD39757">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a．投标函按招标文件规定填报了补遗书编号（如有）、项目负责人相关信息等内容；</w:t>
            </w:r>
          </w:p>
          <w:p w14:paraId="0082C813">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b．投标文件组成齐全完整，内容均按规定填写。</w:t>
            </w:r>
          </w:p>
          <w:p w14:paraId="262E7B9C">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14:paraId="512DA19C">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rPr>
              <w:t>投标人按照招标文件的规定提供了投标保证金，满足招标文件投标人须知前附表第3.4.1款要求</w:t>
            </w:r>
            <w:r>
              <w:rPr>
                <w:rFonts w:hint="eastAsia" w:ascii="宋体" w:hAnsi="宋体" w:eastAsia="宋体" w:cs="宋体"/>
                <w:sz w:val="21"/>
                <w:szCs w:val="21"/>
                <w:highlight w:val="none"/>
              </w:rPr>
              <w:t>。</w:t>
            </w:r>
          </w:p>
          <w:p w14:paraId="408775F6">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（4）投标人法定代表人授权委托代理人签署投标文件的，提供了授权委托书，符合招标文件规定。</w:t>
            </w:r>
          </w:p>
          <w:p w14:paraId="53889C4C">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（5）投标人法定代表人亲自签署投标文件的，提供了法定代表人身份证明，符合招标文件规定。</w:t>
            </w:r>
          </w:p>
          <w:p w14:paraId="66032931">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（6）投标人未以联合体形式投标。</w:t>
            </w:r>
          </w:p>
          <w:p w14:paraId="4801B866">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（7）投标人未对本项目提出分包计划。</w:t>
            </w:r>
          </w:p>
          <w:p w14:paraId="41C82A6C">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（8）投标人未提交备选方案。</w:t>
            </w:r>
          </w:p>
          <w:p w14:paraId="0EC33545">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（9）同一投标人未提交两个以上不同的投标文件。</w:t>
            </w:r>
          </w:p>
          <w:p w14:paraId="7E24303D">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（10）投标文件中未出现有关投标报价的内容。</w:t>
            </w:r>
          </w:p>
          <w:p w14:paraId="76AD2F28">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（11）投标文件载明的招标服务期限符合招标文件规定。</w:t>
            </w:r>
          </w:p>
          <w:p w14:paraId="76A4FE59">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（12）投标文件对招标文件的实质性要求和条件作出响应。</w:t>
            </w:r>
          </w:p>
          <w:p w14:paraId="7114AFB2">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（13）权利义务符合招标文件规定：</w:t>
            </w:r>
          </w:p>
          <w:p w14:paraId="7142B37C">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4B6EF444">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14:paraId="3F121EC2">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68ECEBA9">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50BD5463">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3FDCE11D">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p w14:paraId="0700B4A8">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第一个信封（技术文件）评审标准（暗标部分）：</w:t>
            </w:r>
          </w:p>
          <w:p w14:paraId="5A68AAFD">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（1）暗标部分按照投标人须知前附表10.5对暗标编制的相关规定编制。</w:t>
            </w:r>
          </w:p>
          <w:p w14:paraId="2E658B8E">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第二个信封（报价文件）评审标准：</w:t>
            </w:r>
          </w:p>
          <w:p w14:paraId="43480132">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14:paraId="4931FB3F">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a．投标函按招标文件规定填报了补遗书编号（如有）、投标价（包括大写金额和小写金额）；</w:t>
            </w:r>
          </w:p>
          <w:p w14:paraId="5E6DA565">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b．费用清单说明文字与招标文件规定一致，未进行实质性修改和删减；</w:t>
            </w:r>
          </w:p>
          <w:p w14:paraId="2F775F8D">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14:paraId="056E3C2B">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14:paraId="47D31714">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（3）投标报价中的报价未超过招标文件设定的最高投标限价。</w:t>
            </w:r>
          </w:p>
          <w:p w14:paraId="5B740D79">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（4）投标报价中报价的大写金额能够确定具体数值。</w:t>
            </w:r>
          </w:p>
          <w:p w14:paraId="593F7440">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（5）同一投标人未提交两个以上不同的投标报价。</w:t>
            </w:r>
          </w:p>
          <w:p w14:paraId="4B65FC32">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（6）费用清单中的投标报价和投标函大写金额报价一致。</w:t>
            </w:r>
          </w:p>
        </w:tc>
      </w:tr>
      <w:tr w14:paraId="6C56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2B65755C">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141" w:type="dxa"/>
            <w:vAlign w:val="center"/>
          </w:tcPr>
          <w:p w14:paraId="14DDBB71">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7641" w:type="dxa"/>
          </w:tcPr>
          <w:p w14:paraId="01B483D5">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（1）投标人具备有效的营业执照、组织机构代码证（三证合一或五证合一的除外）、资质证书和基本账户开户许可证（或基本存款账户信息）；</w:t>
            </w:r>
          </w:p>
          <w:p w14:paraId="73E34DAD">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14:paraId="615C0EE4">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14:paraId="00C40458">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14:paraId="3B9D0745">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（5）投标人的项目负责人资格符合招标文件规定； </w:t>
            </w:r>
          </w:p>
          <w:p w14:paraId="309FF7E2">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（6）投标人不存在第二章“投标人须知”第1.4.3项或第1.4.4项规定的任何一种情形。</w:t>
            </w:r>
          </w:p>
        </w:tc>
      </w:tr>
      <w:tr w14:paraId="5464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0B114E0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141" w:type="dxa"/>
            <w:vAlign w:val="center"/>
          </w:tcPr>
          <w:p w14:paraId="1F50B367">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分值构成（总分100分）</w:t>
            </w:r>
          </w:p>
        </w:tc>
        <w:tc>
          <w:tcPr>
            <w:tcW w:w="7641" w:type="dxa"/>
            <w:vAlign w:val="center"/>
          </w:tcPr>
          <w:p w14:paraId="3A3A64CF">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第一个信封（商务及技术文件）评分分值构成：</w:t>
            </w:r>
          </w:p>
          <w:p w14:paraId="581341B1">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技术建议书：</w:t>
            </w:r>
            <w:r>
              <w:rPr>
                <w:rFonts w:hint="eastAsia" w:ascii="宋体" w:hAnsi="宋体" w:eastAsia="宋体" w:cs="宋体"/>
                <w:b/>
                <w:sz w:val="21"/>
                <w:szCs w:val="21"/>
                <w:highlight w:val="none"/>
                <w:u w:val="single"/>
              </w:rPr>
              <w:t>40</w:t>
            </w:r>
            <w:r>
              <w:rPr>
                <w:rFonts w:hint="eastAsia" w:ascii="宋体" w:hAnsi="宋体" w:eastAsia="宋体" w:cs="宋体"/>
                <w:b/>
                <w:sz w:val="21"/>
                <w:szCs w:val="21"/>
                <w:highlight w:val="none"/>
              </w:rPr>
              <w:t>分</w:t>
            </w:r>
          </w:p>
          <w:p w14:paraId="23D08787">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主要人员：2</w:t>
            </w:r>
            <w:r>
              <w:rPr>
                <w:rFonts w:hint="eastAsia" w:ascii="宋体" w:hAnsi="宋体" w:eastAsia="宋体" w:cs="宋体"/>
                <w:b/>
                <w:sz w:val="21"/>
                <w:szCs w:val="21"/>
                <w:highlight w:val="none"/>
                <w:u w:val="single"/>
              </w:rPr>
              <w:t>0</w:t>
            </w:r>
            <w:r>
              <w:rPr>
                <w:rFonts w:hint="eastAsia" w:ascii="宋体" w:hAnsi="宋体" w:eastAsia="宋体" w:cs="宋体"/>
                <w:b/>
                <w:sz w:val="21"/>
                <w:szCs w:val="21"/>
                <w:highlight w:val="none"/>
              </w:rPr>
              <w:t>分</w:t>
            </w:r>
          </w:p>
          <w:p w14:paraId="74B3A1EA">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其他因素：1</w:t>
            </w:r>
            <w:r>
              <w:rPr>
                <w:rFonts w:hint="eastAsia" w:ascii="宋体" w:hAnsi="宋体" w:eastAsia="宋体" w:cs="宋体"/>
                <w:b/>
                <w:sz w:val="21"/>
                <w:szCs w:val="21"/>
                <w:highlight w:val="none"/>
                <w:u w:val="single"/>
              </w:rPr>
              <w:t>0</w:t>
            </w:r>
            <w:r>
              <w:rPr>
                <w:rFonts w:hint="eastAsia" w:ascii="宋体" w:hAnsi="宋体" w:eastAsia="宋体" w:cs="宋体"/>
                <w:b/>
                <w:sz w:val="21"/>
                <w:szCs w:val="21"/>
                <w:highlight w:val="none"/>
              </w:rPr>
              <w:t>分</w:t>
            </w:r>
          </w:p>
          <w:p w14:paraId="43808506">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p>
          <w:p w14:paraId="4A9B8E25">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第二个信封（报价文件）评分分值构成：</w:t>
            </w:r>
          </w:p>
          <w:p w14:paraId="6E03554E">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评标价：3</w:t>
            </w:r>
            <w:r>
              <w:rPr>
                <w:rFonts w:hint="eastAsia" w:ascii="宋体" w:hAnsi="宋体" w:eastAsia="宋体" w:cs="宋体"/>
                <w:b/>
                <w:sz w:val="21"/>
                <w:szCs w:val="21"/>
                <w:highlight w:val="none"/>
                <w:u w:val="single"/>
              </w:rPr>
              <w:t>0</w:t>
            </w:r>
            <w:r>
              <w:rPr>
                <w:rFonts w:hint="eastAsia" w:ascii="宋体" w:hAnsi="宋体" w:eastAsia="宋体" w:cs="宋体"/>
                <w:b/>
                <w:sz w:val="21"/>
                <w:szCs w:val="21"/>
                <w:highlight w:val="none"/>
              </w:rPr>
              <w:t>分</w:t>
            </w:r>
          </w:p>
        </w:tc>
      </w:tr>
      <w:tr w14:paraId="358D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03E0BBDD">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141" w:type="dxa"/>
            <w:vAlign w:val="center"/>
          </w:tcPr>
          <w:p w14:paraId="4FD89DA1">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641" w:type="dxa"/>
            <w:vAlign w:val="center"/>
          </w:tcPr>
          <w:p w14:paraId="6EFBFC65">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评标基准价的计算：</w:t>
            </w:r>
          </w:p>
          <w:p w14:paraId="018A4ED7">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7158E46C">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006AB874">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03535231">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2993AA59">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66120811">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016CFD3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将评标价平均值直接作为评标基准价（评标基准价保留小数点后两位，小数点后第三位四舍五入）。</w:t>
            </w:r>
          </w:p>
          <w:p w14:paraId="1722F396">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39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0D99B932">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141" w:type="dxa"/>
            <w:vAlign w:val="center"/>
          </w:tcPr>
          <w:p w14:paraId="59744837">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641" w:type="dxa"/>
            <w:vAlign w:val="center"/>
          </w:tcPr>
          <w:p w14:paraId="04951EA1">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偏差率=100%×（投标人评标价-评标基准价）／评标基准价</w:t>
            </w:r>
          </w:p>
        </w:tc>
      </w:tr>
      <w:tr w14:paraId="2346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14:paraId="4CF0AC03">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1141" w:type="dxa"/>
            <w:vAlign w:val="center"/>
          </w:tcPr>
          <w:p w14:paraId="2AE815AD">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信息查询</w:t>
            </w:r>
          </w:p>
        </w:tc>
        <w:tc>
          <w:tcPr>
            <w:tcW w:w="7641" w:type="dxa"/>
            <w:vAlign w:val="center"/>
          </w:tcPr>
          <w:p w14:paraId="4F008ACD">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本款修改为：</w:t>
            </w:r>
          </w:p>
          <w:p w14:paraId="1820A62D">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评标委员会评标时应对投标人的信用情况在“国家企业信用信息公示系统”和“信用中国”网站对投标人的信用情况进行查询，若投标人存在“国家企业信用信息公示系统” 被列入严重违法失信企业名单或在“信用中国”网站“被列入失信被执行人名单、经营异常名录、重大税收违法失信主体名单、政府采购严重违法失信名单”情形的（均不含分公司），评标委员会应否决其投标。</w:t>
            </w:r>
          </w:p>
          <w:p w14:paraId="7CCD4AD3">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评标委员会评标时应对投标人提供的各类保证金电子担保材料进行核实，未能提供有效查询途径或所查询结果与投标人所附资料不一致的，按无效投标处理。</w:t>
            </w:r>
          </w:p>
          <w:p w14:paraId="28595C13">
            <w:pPr>
              <w:keepNext w:val="0"/>
              <w:keepLines w:val="0"/>
              <w:pageBreakBefore w:val="0"/>
              <w:widowControl w:val="0"/>
              <w:kinsoku/>
              <w:wordWrap/>
              <w:overflowPunct/>
              <w:topLinePunct w:val="0"/>
              <w:autoSpaceDE w:val="0"/>
              <w:autoSpaceDN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1EA38F5C">
      <w:pPr>
        <w:rPr>
          <w:rFonts w:ascii="Times New Roman" w:hAnsi="Times New Roman"/>
          <w:highlight w:val="none"/>
        </w:rPr>
      </w:pPr>
    </w:p>
    <w:p w14:paraId="3BBBFF7B">
      <w:pPr>
        <w:jc w:val="right"/>
        <w:rPr>
          <w:rFonts w:ascii="Times New Roman" w:hAnsi="Times New Roman"/>
          <w:highlight w:val="none"/>
        </w:rPr>
      </w:pPr>
      <w:r>
        <w:rPr>
          <w:rFonts w:ascii="Times New Roman" w:hAnsi="Times New Roman"/>
          <w:highlight w:val="none"/>
        </w:rPr>
        <w:br w:type="page"/>
      </w:r>
      <w:r>
        <w:rPr>
          <w:rFonts w:ascii="Times New Roman" w:hAnsi="Times New Roman"/>
          <w:highlight w:val="none"/>
        </w:rPr>
        <w:t>续上表</w:t>
      </w:r>
    </w:p>
    <w:tbl>
      <w:tblPr>
        <w:tblStyle w:val="5"/>
        <w:tblW w:w="9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609"/>
        <w:gridCol w:w="631"/>
        <w:gridCol w:w="4912"/>
      </w:tblGrid>
      <w:tr w14:paraId="4078E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14:paraId="5C617BF8">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条款号</w:t>
            </w:r>
          </w:p>
        </w:tc>
        <w:tc>
          <w:tcPr>
            <w:tcW w:w="3593" w:type="dxa"/>
            <w:gridSpan w:val="4"/>
            <w:tcBorders>
              <w:right w:val="single" w:color="auto" w:sz="4" w:space="0"/>
            </w:tcBorders>
            <w:vAlign w:val="center"/>
          </w:tcPr>
          <w:p w14:paraId="42782688">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评审因素与权重分值</w:t>
            </w:r>
          </w:p>
        </w:tc>
        <w:tc>
          <w:tcPr>
            <w:tcW w:w="4912" w:type="dxa"/>
            <w:vMerge w:val="restart"/>
            <w:tcBorders>
              <w:left w:val="single" w:color="auto" w:sz="4" w:space="0"/>
            </w:tcBorders>
            <w:vAlign w:val="center"/>
          </w:tcPr>
          <w:p w14:paraId="0A7BEAD1">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评分标准</w:t>
            </w:r>
          </w:p>
        </w:tc>
      </w:tr>
      <w:tr w14:paraId="6CB93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14:paraId="10E31591">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2.2.4(1)</w:t>
            </w:r>
          </w:p>
        </w:tc>
        <w:tc>
          <w:tcPr>
            <w:tcW w:w="516" w:type="dxa"/>
            <w:vAlign w:val="center"/>
          </w:tcPr>
          <w:p w14:paraId="63D6BB3C">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评分</w:t>
            </w:r>
          </w:p>
          <w:p w14:paraId="3E6B6210">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因素</w:t>
            </w:r>
          </w:p>
        </w:tc>
        <w:tc>
          <w:tcPr>
            <w:tcW w:w="837" w:type="dxa"/>
            <w:vAlign w:val="center"/>
          </w:tcPr>
          <w:p w14:paraId="639BD72F">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评分因素权重分值</w:t>
            </w:r>
          </w:p>
        </w:tc>
        <w:tc>
          <w:tcPr>
            <w:tcW w:w="1609" w:type="dxa"/>
            <w:tcBorders>
              <w:right w:val="single" w:color="auto" w:sz="4" w:space="0"/>
            </w:tcBorders>
            <w:vAlign w:val="center"/>
          </w:tcPr>
          <w:p w14:paraId="70F3ABDF">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各评分因素</w:t>
            </w:r>
          </w:p>
          <w:p w14:paraId="51ED9DA0">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细分项</w:t>
            </w:r>
          </w:p>
        </w:tc>
        <w:tc>
          <w:tcPr>
            <w:tcW w:w="631" w:type="dxa"/>
            <w:tcBorders>
              <w:left w:val="single" w:color="auto" w:sz="4" w:space="0"/>
              <w:right w:val="single" w:color="auto" w:sz="4" w:space="0"/>
            </w:tcBorders>
            <w:vAlign w:val="center"/>
          </w:tcPr>
          <w:p w14:paraId="46F8F620">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分值</w:t>
            </w:r>
          </w:p>
        </w:tc>
        <w:tc>
          <w:tcPr>
            <w:tcW w:w="4912" w:type="dxa"/>
            <w:vMerge w:val="continue"/>
            <w:tcBorders>
              <w:left w:val="single" w:color="auto" w:sz="4" w:space="0"/>
              <w:bottom w:val="single" w:color="auto" w:sz="4" w:space="0"/>
            </w:tcBorders>
            <w:vAlign w:val="center"/>
          </w:tcPr>
          <w:p w14:paraId="6945C162">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r>
      <w:tr w14:paraId="359DC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37283154">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restart"/>
            <w:vAlign w:val="center"/>
          </w:tcPr>
          <w:p w14:paraId="5F7BCAAE">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技术建议书</w:t>
            </w:r>
          </w:p>
        </w:tc>
        <w:tc>
          <w:tcPr>
            <w:tcW w:w="837" w:type="dxa"/>
            <w:vMerge w:val="restart"/>
            <w:vAlign w:val="center"/>
          </w:tcPr>
          <w:p w14:paraId="1A1BEA53">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40分</w:t>
            </w:r>
          </w:p>
        </w:tc>
        <w:tc>
          <w:tcPr>
            <w:tcW w:w="1609" w:type="dxa"/>
            <w:tcBorders>
              <w:right w:val="single" w:color="auto" w:sz="4" w:space="0"/>
            </w:tcBorders>
            <w:vAlign w:val="center"/>
          </w:tcPr>
          <w:p w14:paraId="75CCBC07">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spacing w:val="-2"/>
                <w:sz w:val="21"/>
                <w:szCs w:val="21"/>
                <w:highlight w:val="none"/>
              </w:rPr>
              <w:t>服务方案</w:t>
            </w:r>
          </w:p>
        </w:tc>
        <w:tc>
          <w:tcPr>
            <w:tcW w:w="631" w:type="dxa"/>
            <w:tcBorders>
              <w:left w:val="single" w:color="auto" w:sz="4" w:space="0"/>
              <w:right w:val="single" w:color="auto" w:sz="4" w:space="0"/>
            </w:tcBorders>
            <w:vAlign w:val="center"/>
          </w:tcPr>
          <w:p w14:paraId="477F344B">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spacing w:val="-7"/>
                <w:sz w:val="21"/>
                <w:szCs w:val="21"/>
                <w:highlight w:val="none"/>
                <w:lang w:eastAsia="zh-CN"/>
              </w:rPr>
              <w:t>10</w:t>
            </w:r>
            <w:r>
              <w:rPr>
                <w:rFonts w:hint="eastAsia" w:ascii="宋体" w:hAnsi="宋体" w:eastAsia="宋体" w:cs="宋体"/>
                <w:spacing w:val="-7"/>
                <w:sz w:val="21"/>
                <w:szCs w:val="21"/>
                <w:highlight w:val="none"/>
              </w:rPr>
              <w:t>分</w:t>
            </w:r>
          </w:p>
        </w:tc>
        <w:tc>
          <w:tcPr>
            <w:tcW w:w="4912" w:type="dxa"/>
            <w:tcBorders>
              <w:top w:val="single" w:color="auto" w:sz="4" w:space="0"/>
              <w:left w:val="single" w:color="auto" w:sz="4" w:space="0"/>
            </w:tcBorders>
          </w:tcPr>
          <w:p w14:paraId="63BC9CE9">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cs="宋体"/>
                <w:spacing w:val="-1"/>
                <w:sz w:val="21"/>
                <w:szCs w:val="21"/>
                <w:highlight w:val="none"/>
                <w:lang w:eastAsia="zh-CN"/>
              </w:rPr>
            </w:pPr>
            <w:r>
              <w:rPr>
                <w:rFonts w:hint="eastAsia" w:ascii="宋体" w:hAnsi="宋体" w:eastAsia="宋体" w:cs="宋体"/>
                <w:spacing w:val="-1"/>
                <w:sz w:val="21"/>
                <w:szCs w:val="21"/>
                <w:highlight w:val="none"/>
                <w:lang w:eastAsia="zh-CN"/>
              </w:rPr>
              <w:t>服务方案涵盖认证服务，技术方案内容全面、切实可行</w:t>
            </w:r>
            <w:r>
              <w:rPr>
                <w:rFonts w:hint="eastAsia" w:cs="宋体"/>
                <w:spacing w:val="-1"/>
                <w:sz w:val="21"/>
                <w:szCs w:val="21"/>
                <w:highlight w:val="none"/>
                <w:lang w:eastAsia="zh-CN"/>
              </w:rPr>
              <w:t>，</w:t>
            </w:r>
            <w:r>
              <w:rPr>
                <w:rFonts w:hint="eastAsia" w:ascii="宋体" w:hAnsi="宋体" w:eastAsia="宋体" w:cs="宋体"/>
                <w:spacing w:val="-5"/>
                <w:sz w:val="21"/>
                <w:szCs w:val="21"/>
                <w:highlight w:val="none"/>
                <w:lang w:eastAsia="zh-CN"/>
              </w:rPr>
              <w:t>得 8～10分</w:t>
            </w:r>
            <w:r>
              <w:rPr>
                <w:rFonts w:hint="eastAsia" w:cs="宋体"/>
                <w:spacing w:val="-1"/>
                <w:sz w:val="21"/>
                <w:szCs w:val="21"/>
                <w:highlight w:val="none"/>
                <w:lang w:eastAsia="zh-CN"/>
              </w:rPr>
              <w:t>；</w:t>
            </w:r>
          </w:p>
          <w:p w14:paraId="4110403C">
            <w:pPr>
              <w:pStyle w:val="11"/>
              <w:keepNext w:val="0"/>
              <w:keepLines w:val="0"/>
              <w:pageBreakBefore w:val="0"/>
              <w:widowControl w:val="0"/>
              <w:kinsoku/>
              <w:wordWrap/>
              <w:overflowPunct/>
              <w:topLinePunct w:val="0"/>
              <w:bidi w:val="0"/>
              <w:adjustRightInd/>
              <w:snapToGrid w:val="0"/>
              <w:spacing w:line="320" w:lineRule="exact"/>
              <w:ind w:firstLine="0" w:firstLineChars="0"/>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1"/>
                <w:sz w:val="21"/>
                <w:szCs w:val="21"/>
                <w:highlight w:val="none"/>
                <w:lang w:eastAsia="zh-CN"/>
              </w:rPr>
              <w:t>服务方案</w:t>
            </w:r>
            <w:r>
              <w:rPr>
                <w:rFonts w:hint="eastAsia" w:cs="宋体"/>
                <w:spacing w:val="-1"/>
                <w:sz w:val="21"/>
                <w:szCs w:val="21"/>
                <w:highlight w:val="none"/>
                <w:lang w:val="en-US" w:eastAsia="zh-CN"/>
              </w:rPr>
              <w:t>较好</w:t>
            </w:r>
            <w:r>
              <w:rPr>
                <w:rFonts w:hint="eastAsia" w:ascii="宋体" w:hAnsi="宋体" w:eastAsia="宋体" w:cs="宋体"/>
                <w:spacing w:val="-1"/>
                <w:sz w:val="21"/>
                <w:szCs w:val="21"/>
                <w:highlight w:val="none"/>
                <w:lang w:eastAsia="zh-CN"/>
              </w:rPr>
              <w:t>，技术方案内容</w:t>
            </w:r>
            <w:r>
              <w:rPr>
                <w:rFonts w:hint="eastAsia" w:cs="宋体"/>
                <w:spacing w:val="-1"/>
                <w:sz w:val="21"/>
                <w:szCs w:val="21"/>
                <w:highlight w:val="none"/>
                <w:lang w:val="en-US" w:eastAsia="zh-CN"/>
              </w:rPr>
              <w:t>较好</w:t>
            </w:r>
            <w:r>
              <w:rPr>
                <w:rFonts w:hint="eastAsia" w:ascii="宋体" w:hAnsi="宋体" w:eastAsia="宋体" w:cs="宋体"/>
                <w:spacing w:val="-5"/>
                <w:sz w:val="21"/>
                <w:szCs w:val="21"/>
                <w:highlight w:val="none"/>
                <w:lang w:eastAsia="zh-CN"/>
              </w:rPr>
              <w:t>，得 6～8 分；</w:t>
            </w:r>
          </w:p>
          <w:p w14:paraId="115ACBA4">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服务方案</w:t>
            </w:r>
            <w:r>
              <w:rPr>
                <w:rFonts w:hint="eastAsia" w:cs="宋体"/>
                <w:spacing w:val="-1"/>
                <w:sz w:val="21"/>
                <w:szCs w:val="21"/>
                <w:highlight w:val="none"/>
                <w:lang w:val="en-US" w:eastAsia="zh-CN"/>
              </w:rPr>
              <w:t>一般</w:t>
            </w:r>
            <w:r>
              <w:rPr>
                <w:rFonts w:hint="eastAsia" w:ascii="宋体" w:hAnsi="宋体" w:eastAsia="宋体" w:cs="宋体"/>
                <w:spacing w:val="-1"/>
                <w:sz w:val="21"/>
                <w:szCs w:val="21"/>
                <w:highlight w:val="none"/>
                <w:lang w:eastAsia="zh-CN"/>
              </w:rPr>
              <w:t>，技术方案内容</w:t>
            </w:r>
            <w:r>
              <w:rPr>
                <w:rFonts w:hint="eastAsia" w:cs="宋体"/>
                <w:spacing w:val="-1"/>
                <w:sz w:val="21"/>
                <w:szCs w:val="21"/>
                <w:highlight w:val="none"/>
                <w:lang w:val="en-US" w:eastAsia="zh-CN"/>
              </w:rPr>
              <w:t>一般</w:t>
            </w:r>
            <w:r>
              <w:rPr>
                <w:rFonts w:hint="eastAsia" w:ascii="宋体" w:hAnsi="宋体" w:eastAsia="宋体" w:cs="宋体"/>
                <w:spacing w:val="-5"/>
                <w:sz w:val="21"/>
                <w:szCs w:val="21"/>
                <w:highlight w:val="none"/>
                <w:lang w:eastAsia="zh-CN"/>
              </w:rPr>
              <w:t>，得 6 分</w:t>
            </w:r>
            <w:r>
              <w:rPr>
                <w:rFonts w:hint="eastAsia" w:cs="宋体"/>
                <w:spacing w:val="-5"/>
                <w:sz w:val="21"/>
                <w:szCs w:val="21"/>
                <w:highlight w:val="none"/>
                <w:lang w:eastAsia="zh-CN"/>
              </w:rPr>
              <w:t>。</w:t>
            </w:r>
          </w:p>
        </w:tc>
      </w:tr>
      <w:tr w14:paraId="4586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4A332187">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continue"/>
            <w:vAlign w:val="center"/>
          </w:tcPr>
          <w:p w14:paraId="473FCD9F">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837" w:type="dxa"/>
            <w:vMerge w:val="continue"/>
            <w:vAlign w:val="center"/>
          </w:tcPr>
          <w:p w14:paraId="7C272624">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1609" w:type="dxa"/>
            <w:tcBorders>
              <w:right w:val="single" w:color="auto" w:sz="4" w:space="0"/>
            </w:tcBorders>
            <w:vAlign w:val="center"/>
          </w:tcPr>
          <w:p w14:paraId="5ED0DEDE">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边界的划分，技术要求的确定，排放因子的选择</w:t>
            </w:r>
          </w:p>
          <w:p w14:paraId="3ECF715D">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eastAsia="zh-CN"/>
              </w:rPr>
              <w:t>重点难点的分析及对策措施</w:t>
            </w:r>
          </w:p>
        </w:tc>
        <w:tc>
          <w:tcPr>
            <w:tcW w:w="631" w:type="dxa"/>
            <w:tcBorders>
              <w:left w:val="single" w:color="auto" w:sz="4" w:space="0"/>
              <w:right w:val="single" w:color="auto" w:sz="4" w:space="0"/>
            </w:tcBorders>
            <w:vAlign w:val="center"/>
          </w:tcPr>
          <w:p w14:paraId="0A7F26F8">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w:t>
            </w:r>
            <w:r>
              <w:rPr>
                <w:rFonts w:hint="eastAsia" w:ascii="宋体" w:hAnsi="宋体" w:eastAsia="宋体" w:cs="宋体"/>
                <w:spacing w:val="-42"/>
                <w:sz w:val="21"/>
                <w:szCs w:val="21"/>
                <w:highlight w:val="none"/>
              </w:rPr>
              <w:t xml:space="preserve"> </w:t>
            </w:r>
            <w:r>
              <w:rPr>
                <w:rFonts w:hint="eastAsia" w:ascii="宋体" w:hAnsi="宋体" w:eastAsia="宋体" w:cs="宋体"/>
                <w:spacing w:val="-8"/>
                <w:sz w:val="21"/>
                <w:szCs w:val="21"/>
                <w:highlight w:val="none"/>
              </w:rPr>
              <w:t>分</w:t>
            </w:r>
          </w:p>
        </w:tc>
        <w:tc>
          <w:tcPr>
            <w:tcW w:w="4912" w:type="dxa"/>
            <w:tcBorders>
              <w:left w:val="single" w:color="auto" w:sz="4" w:space="0"/>
            </w:tcBorders>
          </w:tcPr>
          <w:p w14:paraId="218F01DF">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分析定位准确，关键技术措施合理得</w:t>
            </w:r>
            <w:r>
              <w:rPr>
                <w:rFonts w:hint="eastAsia" w:ascii="宋体" w:hAnsi="宋体" w:eastAsia="宋体" w:cs="宋体"/>
                <w:spacing w:val="-7"/>
                <w:sz w:val="21"/>
                <w:szCs w:val="21"/>
                <w:highlight w:val="none"/>
                <w:lang w:eastAsia="zh-CN"/>
              </w:rPr>
              <w:t>当、针对性强</w:t>
            </w:r>
            <w:r>
              <w:rPr>
                <w:rFonts w:hint="eastAsia" w:cs="宋体"/>
                <w:spacing w:val="-7"/>
                <w:sz w:val="21"/>
                <w:szCs w:val="21"/>
                <w:highlight w:val="none"/>
                <w:lang w:eastAsia="zh-CN"/>
              </w:rPr>
              <w:t>，</w:t>
            </w:r>
            <w:r>
              <w:rPr>
                <w:rFonts w:hint="eastAsia" w:ascii="宋体" w:hAnsi="宋体" w:eastAsia="宋体" w:cs="宋体"/>
                <w:spacing w:val="1"/>
                <w:sz w:val="21"/>
                <w:szCs w:val="21"/>
                <w:highlight w:val="none"/>
                <w:lang w:eastAsia="zh-CN"/>
              </w:rPr>
              <w:t>得</w:t>
            </w:r>
            <w:r>
              <w:rPr>
                <w:rFonts w:hint="eastAsia" w:ascii="宋体" w:hAnsi="宋体" w:eastAsia="宋体" w:cs="宋体"/>
                <w:spacing w:val="-16"/>
                <w:sz w:val="21"/>
                <w:szCs w:val="21"/>
                <w:highlight w:val="none"/>
                <w:lang w:eastAsia="zh-CN"/>
              </w:rPr>
              <w:t xml:space="preserve"> </w:t>
            </w:r>
            <w:r>
              <w:rPr>
                <w:rFonts w:hint="eastAsia" w:ascii="宋体" w:hAnsi="宋体" w:eastAsia="宋体" w:cs="宋体"/>
                <w:spacing w:val="1"/>
                <w:sz w:val="21"/>
                <w:szCs w:val="21"/>
                <w:highlight w:val="none"/>
                <w:lang w:eastAsia="zh-CN"/>
              </w:rPr>
              <w:t>8～10分。</w:t>
            </w:r>
          </w:p>
          <w:p w14:paraId="4D542668">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分析定位</w:t>
            </w:r>
            <w:r>
              <w:rPr>
                <w:rFonts w:hint="eastAsia" w:cs="宋体"/>
                <w:spacing w:val="-1"/>
                <w:sz w:val="21"/>
                <w:szCs w:val="21"/>
                <w:highlight w:val="none"/>
                <w:lang w:val="en-US" w:eastAsia="zh-CN"/>
              </w:rPr>
              <w:t>较准确</w:t>
            </w:r>
            <w:r>
              <w:rPr>
                <w:rFonts w:hint="eastAsia" w:ascii="宋体" w:hAnsi="宋体" w:eastAsia="宋体" w:cs="宋体"/>
                <w:spacing w:val="-1"/>
                <w:sz w:val="21"/>
                <w:szCs w:val="21"/>
                <w:highlight w:val="none"/>
                <w:lang w:eastAsia="zh-CN"/>
              </w:rPr>
              <w:t>，关键技术措施</w:t>
            </w:r>
            <w:r>
              <w:rPr>
                <w:rFonts w:hint="eastAsia" w:cs="宋体"/>
                <w:spacing w:val="-1"/>
                <w:sz w:val="21"/>
                <w:szCs w:val="21"/>
                <w:highlight w:val="none"/>
                <w:lang w:val="en-US" w:eastAsia="zh-CN"/>
              </w:rPr>
              <w:t>较</w:t>
            </w:r>
            <w:r>
              <w:rPr>
                <w:rFonts w:hint="eastAsia" w:ascii="宋体" w:hAnsi="宋体" w:eastAsia="宋体" w:cs="宋体"/>
                <w:spacing w:val="-1"/>
                <w:sz w:val="21"/>
                <w:szCs w:val="21"/>
                <w:highlight w:val="none"/>
                <w:lang w:eastAsia="zh-CN"/>
              </w:rPr>
              <w:t>合理</w:t>
            </w:r>
            <w:r>
              <w:rPr>
                <w:rFonts w:hint="eastAsia" w:ascii="宋体" w:hAnsi="宋体" w:eastAsia="宋体" w:cs="宋体"/>
                <w:spacing w:val="-7"/>
                <w:sz w:val="21"/>
                <w:szCs w:val="21"/>
                <w:highlight w:val="none"/>
                <w:lang w:eastAsia="zh-CN"/>
              </w:rPr>
              <w:t>、针对性</w:t>
            </w:r>
            <w:r>
              <w:rPr>
                <w:rFonts w:hint="eastAsia" w:cs="宋体"/>
                <w:spacing w:val="-7"/>
                <w:sz w:val="21"/>
                <w:szCs w:val="21"/>
                <w:highlight w:val="none"/>
                <w:lang w:val="en-US" w:eastAsia="zh-CN"/>
              </w:rPr>
              <w:t>较</w:t>
            </w:r>
            <w:r>
              <w:rPr>
                <w:rFonts w:hint="eastAsia" w:ascii="宋体" w:hAnsi="宋体" w:eastAsia="宋体" w:cs="宋体"/>
                <w:spacing w:val="-7"/>
                <w:sz w:val="21"/>
                <w:szCs w:val="21"/>
                <w:highlight w:val="none"/>
                <w:lang w:eastAsia="zh-CN"/>
              </w:rPr>
              <w:t>强</w:t>
            </w:r>
            <w:r>
              <w:rPr>
                <w:rFonts w:hint="eastAsia" w:cs="宋体"/>
                <w:spacing w:val="-7"/>
                <w:sz w:val="21"/>
                <w:szCs w:val="21"/>
                <w:highlight w:val="none"/>
                <w:lang w:eastAsia="zh-CN"/>
              </w:rPr>
              <w:t>，</w:t>
            </w:r>
            <w:r>
              <w:rPr>
                <w:rFonts w:hint="eastAsia" w:ascii="宋体" w:hAnsi="宋体" w:eastAsia="宋体" w:cs="宋体"/>
                <w:spacing w:val="1"/>
                <w:sz w:val="21"/>
                <w:szCs w:val="21"/>
                <w:highlight w:val="none"/>
                <w:lang w:eastAsia="zh-CN"/>
              </w:rPr>
              <w:t>得</w:t>
            </w:r>
            <w:r>
              <w:rPr>
                <w:rFonts w:hint="eastAsia" w:ascii="宋体" w:hAnsi="宋体" w:eastAsia="宋体" w:cs="宋体"/>
                <w:spacing w:val="-16"/>
                <w:sz w:val="21"/>
                <w:szCs w:val="21"/>
                <w:highlight w:val="none"/>
                <w:lang w:eastAsia="zh-CN"/>
              </w:rPr>
              <w:t xml:space="preserve"> </w:t>
            </w:r>
            <w:r>
              <w:rPr>
                <w:rFonts w:hint="eastAsia" w:cs="宋体"/>
                <w:spacing w:val="1"/>
                <w:sz w:val="21"/>
                <w:szCs w:val="21"/>
                <w:highlight w:val="none"/>
                <w:lang w:val="en-US" w:eastAsia="zh-CN"/>
              </w:rPr>
              <w:t>6</w:t>
            </w:r>
            <w:r>
              <w:rPr>
                <w:rFonts w:hint="eastAsia" w:ascii="宋体" w:hAnsi="宋体" w:eastAsia="宋体" w:cs="宋体"/>
                <w:spacing w:val="1"/>
                <w:sz w:val="21"/>
                <w:szCs w:val="21"/>
                <w:highlight w:val="none"/>
                <w:lang w:eastAsia="zh-CN"/>
              </w:rPr>
              <w:t>～</w:t>
            </w:r>
            <w:r>
              <w:rPr>
                <w:rFonts w:hint="eastAsia" w:cs="宋体"/>
                <w:spacing w:val="1"/>
                <w:sz w:val="21"/>
                <w:szCs w:val="21"/>
                <w:highlight w:val="none"/>
                <w:lang w:val="en-US" w:eastAsia="zh-CN"/>
              </w:rPr>
              <w:t>8</w:t>
            </w:r>
            <w:r>
              <w:rPr>
                <w:rFonts w:hint="eastAsia" w:ascii="宋体" w:hAnsi="宋体" w:eastAsia="宋体" w:cs="宋体"/>
                <w:spacing w:val="1"/>
                <w:sz w:val="21"/>
                <w:szCs w:val="21"/>
                <w:highlight w:val="none"/>
                <w:lang w:eastAsia="zh-CN"/>
              </w:rPr>
              <w:t>分。</w:t>
            </w:r>
          </w:p>
          <w:p w14:paraId="13A5217F">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分析定位</w:t>
            </w:r>
            <w:r>
              <w:rPr>
                <w:rFonts w:hint="eastAsia" w:cs="宋体"/>
                <w:spacing w:val="-1"/>
                <w:sz w:val="21"/>
                <w:szCs w:val="21"/>
                <w:highlight w:val="none"/>
                <w:lang w:val="en-US" w:eastAsia="zh-CN"/>
              </w:rPr>
              <w:t>一般</w:t>
            </w:r>
            <w:r>
              <w:rPr>
                <w:rFonts w:hint="eastAsia" w:ascii="宋体" w:hAnsi="宋体" w:eastAsia="宋体" w:cs="宋体"/>
                <w:spacing w:val="-1"/>
                <w:sz w:val="21"/>
                <w:szCs w:val="21"/>
                <w:highlight w:val="none"/>
                <w:lang w:eastAsia="zh-CN"/>
              </w:rPr>
              <w:t>，关键技术措施</w:t>
            </w:r>
            <w:r>
              <w:rPr>
                <w:rFonts w:hint="eastAsia" w:cs="宋体"/>
                <w:spacing w:val="-1"/>
                <w:sz w:val="21"/>
                <w:szCs w:val="21"/>
                <w:highlight w:val="none"/>
                <w:lang w:val="en-US" w:eastAsia="zh-CN"/>
              </w:rPr>
              <w:t>一般</w:t>
            </w:r>
            <w:r>
              <w:rPr>
                <w:rFonts w:hint="eastAsia" w:ascii="宋体" w:hAnsi="宋体" w:eastAsia="宋体" w:cs="宋体"/>
                <w:spacing w:val="-7"/>
                <w:sz w:val="21"/>
                <w:szCs w:val="21"/>
                <w:highlight w:val="none"/>
                <w:lang w:eastAsia="zh-CN"/>
              </w:rPr>
              <w:t>、针对性</w:t>
            </w:r>
            <w:r>
              <w:rPr>
                <w:rFonts w:hint="eastAsia" w:cs="宋体"/>
                <w:spacing w:val="-7"/>
                <w:sz w:val="21"/>
                <w:szCs w:val="21"/>
                <w:highlight w:val="none"/>
                <w:lang w:val="en-US" w:eastAsia="zh-CN"/>
              </w:rPr>
              <w:t>一般</w:t>
            </w:r>
            <w:r>
              <w:rPr>
                <w:rFonts w:hint="eastAsia" w:cs="宋体"/>
                <w:spacing w:val="-7"/>
                <w:sz w:val="21"/>
                <w:szCs w:val="21"/>
                <w:highlight w:val="none"/>
                <w:lang w:eastAsia="zh-CN"/>
              </w:rPr>
              <w:t>，</w:t>
            </w:r>
            <w:r>
              <w:rPr>
                <w:rFonts w:hint="eastAsia" w:ascii="宋体" w:hAnsi="宋体" w:eastAsia="宋体" w:cs="宋体"/>
                <w:spacing w:val="1"/>
                <w:sz w:val="21"/>
                <w:szCs w:val="21"/>
                <w:highlight w:val="none"/>
                <w:lang w:eastAsia="zh-CN"/>
              </w:rPr>
              <w:t>得</w:t>
            </w:r>
            <w:r>
              <w:rPr>
                <w:rFonts w:hint="eastAsia" w:cs="宋体"/>
                <w:spacing w:val="-16"/>
                <w:sz w:val="21"/>
                <w:szCs w:val="21"/>
                <w:highlight w:val="none"/>
                <w:lang w:val="en-US" w:eastAsia="zh-CN"/>
              </w:rPr>
              <w:t>6</w:t>
            </w:r>
            <w:r>
              <w:rPr>
                <w:rFonts w:hint="eastAsia" w:ascii="宋体" w:hAnsi="宋体" w:eastAsia="宋体" w:cs="宋体"/>
                <w:spacing w:val="1"/>
                <w:sz w:val="21"/>
                <w:szCs w:val="21"/>
                <w:highlight w:val="none"/>
                <w:lang w:eastAsia="zh-CN"/>
              </w:rPr>
              <w:t>分。</w:t>
            </w:r>
          </w:p>
        </w:tc>
      </w:tr>
      <w:tr w14:paraId="7F737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41E41CDC">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continue"/>
            <w:vAlign w:val="center"/>
          </w:tcPr>
          <w:p w14:paraId="7C9305DD">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837" w:type="dxa"/>
            <w:vMerge w:val="continue"/>
            <w:vAlign w:val="center"/>
          </w:tcPr>
          <w:p w14:paraId="6BC526AE">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1609" w:type="dxa"/>
            <w:tcBorders>
              <w:right w:val="single" w:color="auto" w:sz="4" w:space="0"/>
            </w:tcBorders>
            <w:vAlign w:val="center"/>
          </w:tcPr>
          <w:p w14:paraId="79479490">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eastAsia="zh-CN"/>
              </w:rPr>
              <w:t>计划安排及进度保证措施</w:t>
            </w:r>
          </w:p>
        </w:tc>
        <w:tc>
          <w:tcPr>
            <w:tcW w:w="631" w:type="dxa"/>
            <w:tcBorders>
              <w:left w:val="single" w:color="auto" w:sz="4" w:space="0"/>
              <w:right w:val="single" w:color="auto" w:sz="4" w:space="0"/>
            </w:tcBorders>
            <w:vAlign w:val="center"/>
          </w:tcPr>
          <w:p w14:paraId="030750FE">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lang w:eastAsia="zh-CN"/>
              </w:rPr>
              <w:t>10</w:t>
            </w:r>
            <w:r>
              <w:rPr>
                <w:rFonts w:hint="eastAsia" w:ascii="宋体" w:hAnsi="宋体" w:eastAsia="宋体" w:cs="宋体"/>
                <w:spacing w:val="-42"/>
                <w:sz w:val="21"/>
                <w:szCs w:val="21"/>
                <w:highlight w:val="none"/>
              </w:rPr>
              <w:t xml:space="preserve"> </w:t>
            </w:r>
            <w:r>
              <w:rPr>
                <w:rFonts w:hint="eastAsia" w:ascii="宋体" w:hAnsi="宋体" w:eastAsia="宋体" w:cs="宋体"/>
                <w:spacing w:val="-7"/>
                <w:sz w:val="21"/>
                <w:szCs w:val="21"/>
                <w:highlight w:val="none"/>
              </w:rPr>
              <w:t>分</w:t>
            </w:r>
          </w:p>
        </w:tc>
        <w:tc>
          <w:tcPr>
            <w:tcW w:w="4912" w:type="dxa"/>
            <w:tcBorders>
              <w:left w:val="single" w:color="auto" w:sz="4" w:space="0"/>
            </w:tcBorders>
          </w:tcPr>
          <w:p w14:paraId="194674DB">
            <w:pPr>
              <w:pStyle w:val="11"/>
              <w:keepNext w:val="0"/>
              <w:keepLines w:val="0"/>
              <w:pageBreakBefore w:val="0"/>
              <w:widowControl/>
              <w:kinsoku/>
              <w:wordWrap/>
              <w:overflowPunct/>
              <w:topLinePunct w:val="0"/>
              <w:bidi w:val="0"/>
              <w:adjustRightInd/>
              <w:snapToGrid w:val="0"/>
              <w:spacing w:line="320" w:lineRule="exac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1"/>
                <w:sz w:val="21"/>
                <w:szCs w:val="21"/>
                <w:highlight w:val="none"/>
                <w:lang w:eastAsia="zh-CN"/>
              </w:rPr>
              <w:t>计划安排合理，节点服务期限满足要求，后续工作能够按照招标人要求按期</w:t>
            </w:r>
            <w:r>
              <w:rPr>
                <w:rFonts w:hint="eastAsia" w:ascii="宋体" w:hAnsi="宋体" w:eastAsia="宋体" w:cs="宋体"/>
                <w:spacing w:val="-8"/>
                <w:sz w:val="21"/>
                <w:szCs w:val="21"/>
                <w:highlight w:val="none"/>
                <w:lang w:eastAsia="zh-CN"/>
              </w:rPr>
              <w:t>完成,保障措施得当、可行</w:t>
            </w:r>
            <w:r>
              <w:rPr>
                <w:rFonts w:hint="eastAsia" w:cs="宋体"/>
                <w:spacing w:val="-8"/>
                <w:sz w:val="21"/>
                <w:szCs w:val="21"/>
                <w:highlight w:val="none"/>
                <w:lang w:eastAsia="zh-CN"/>
              </w:rPr>
              <w:t>，</w:t>
            </w:r>
            <w:r>
              <w:rPr>
                <w:rFonts w:hint="eastAsia" w:ascii="宋体" w:hAnsi="宋体" w:eastAsia="宋体" w:cs="宋体"/>
                <w:spacing w:val="-5"/>
                <w:sz w:val="21"/>
                <w:szCs w:val="21"/>
                <w:highlight w:val="none"/>
                <w:lang w:eastAsia="zh-CN"/>
              </w:rPr>
              <w:t>得 8～10分。</w:t>
            </w:r>
          </w:p>
          <w:p w14:paraId="4D227A47">
            <w:pPr>
              <w:pStyle w:val="11"/>
              <w:keepNext w:val="0"/>
              <w:keepLines w:val="0"/>
              <w:pageBreakBefore w:val="0"/>
              <w:widowControl/>
              <w:kinsoku/>
              <w:wordWrap/>
              <w:overflowPunct/>
              <w:topLinePunct w:val="0"/>
              <w:bidi w:val="0"/>
              <w:adjustRightInd/>
              <w:snapToGrid w:val="0"/>
              <w:spacing w:line="320" w:lineRule="exac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1"/>
                <w:sz w:val="21"/>
                <w:szCs w:val="21"/>
                <w:highlight w:val="none"/>
                <w:lang w:eastAsia="zh-CN"/>
              </w:rPr>
              <w:t>计划安排</w:t>
            </w:r>
            <w:r>
              <w:rPr>
                <w:rFonts w:hint="eastAsia" w:ascii="宋体" w:hAnsi="宋体" w:cs="宋体"/>
                <w:spacing w:val="-1"/>
                <w:sz w:val="21"/>
                <w:szCs w:val="21"/>
                <w:highlight w:val="none"/>
                <w:lang w:val="en-US" w:eastAsia="zh-CN"/>
              </w:rPr>
              <w:t>较</w:t>
            </w:r>
            <w:r>
              <w:rPr>
                <w:rFonts w:hint="eastAsia" w:ascii="宋体" w:hAnsi="宋体" w:eastAsia="宋体" w:cs="宋体"/>
                <w:spacing w:val="-1"/>
                <w:sz w:val="21"/>
                <w:szCs w:val="21"/>
                <w:highlight w:val="none"/>
                <w:lang w:eastAsia="zh-CN"/>
              </w:rPr>
              <w:t>合理，节点服务期限</w:t>
            </w:r>
            <w:r>
              <w:rPr>
                <w:rFonts w:hint="eastAsia" w:ascii="宋体" w:hAnsi="宋体" w:cs="宋体"/>
                <w:spacing w:val="-1"/>
                <w:sz w:val="21"/>
                <w:szCs w:val="21"/>
                <w:highlight w:val="none"/>
                <w:lang w:val="en-US" w:eastAsia="zh-CN"/>
              </w:rPr>
              <w:t>较能</w:t>
            </w:r>
            <w:r>
              <w:rPr>
                <w:rFonts w:hint="eastAsia" w:ascii="宋体" w:hAnsi="宋体" w:eastAsia="宋体" w:cs="宋体"/>
                <w:spacing w:val="-1"/>
                <w:sz w:val="21"/>
                <w:szCs w:val="21"/>
                <w:highlight w:val="none"/>
                <w:lang w:eastAsia="zh-CN"/>
              </w:rPr>
              <w:t>满足要求，后续工作</w:t>
            </w:r>
            <w:r>
              <w:rPr>
                <w:rFonts w:hint="eastAsia" w:cs="宋体"/>
                <w:spacing w:val="-1"/>
                <w:sz w:val="21"/>
                <w:szCs w:val="21"/>
                <w:highlight w:val="none"/>
                <w:lang w:val="en-US" w:eastAsia="zh-CN"/>
              </w:rPr>
              <w:t>较</w:t>
            </w:r>
            <w:r>
              <w:rPr>
                <w:rFonts w:hint="eastAsia" w:ascii="宋体" w:hAnsi="宋体" w:eastAsia="宋体" w:cs="宋体"/>
                <w:spacing w:val="-1"/>
                <w:sz w:val="21"/>
                <w:szCs w:val="21"/>
                <w:highlight w:val="none"/>
                <w:lang w:eastAsia="zh-CN"/>
              </w:rPr>
              <w:t>能够按照招标人要求按期</w:t>
            </w:r>
            <w:r>
              <w:rPr>
                <w:rFonts w:hint="eastAsia" w:ascii="宋体" w:hAnsi="宋体" w:eastAsia="宋体" w:cs="宋体"/>
                <w:spacing w:val="-8"/>
                <w:sz w:val="21"/>
                <w:szCs w:val="21"/>
                <w:highlight w:val="none"/>
                <w:lang w:eastAsia="zh-CN"/>
              </w:rPr>
              <w:t>完成,保障措施</w:t>
            </w:r>
            <w:r>
              <w:rPr>
                <w:rFonts w:hint="eastAsia" w:cs="宋体"/>
                <w:spacing w:val="-8"/>
                <w:sz w:val="21"/>
                <w:szCs w:val="21"/>
                <w:highlight w:val="none"/>
                <w:lang w:val="en-US" w:eastAsia="zh-CN"/>
              </w:rPr>
              <w:t>较</w:t>
            </w:r>
            <w:r>
              <w:rPr>
                <w:rFonts w:hint="eastAsia" w:ascii="宋体" w:hAnsi="宋体" w:eastAsia="宋体" w:cs="宋体"/>
                <w:spacing w:val="-8"/>
                <w:sz w:val="21"/>
                <w:szCs w:val="21"/>
                <w:highlight w:val="none"/>
                <w:lang w:eastAsia="zh-CN"/>
              </w:rPr>
              <w:t>得当、可行</w:t>
            </w:r>
            <w:r>
              <w:rPr>
                <w:rFonts w:hint="eastAsia" w:cs="宋体"/>
                <w:spacing w:val="-8"/>
                <w:sz w:val="21"/>
                <w:szCs w:val="21"/>
                <w:highlight w:val="none"/>
                <w:lang w:eastAsia="zh-CN"/>
              </w:rPr>
              <w:t>，</w:t>
            </w:r>
            <w:r>
              <w:rPr>
                <w:rFonts w:hint="eastAsia" w:ascii="宋体" w:hAnsi="宋体" w:eastAsia="宋体" w:cs="宋体"/>
                <w:spacing w:val="-5"/>
                <w:sz w:val="21"/>
                <w:szCs w:val="21"/>
                <w:highlight w:val="none"/>
                <w:lang w:eastAsia="zh-CN"/>
              </w:rPr>
              <w:t>得 6～8 分；</w:t>
            </w:r>
          </w:p>
          <w:p w14:paraId="12EA9771">
            <w:pPr>
              <w:pStyle w:val="11"/>
              <w:keepNext w:val="0"/>
              <w:keepLines w:val="0"/>
              <w:pageBreakBefore w:val="0"/>
              <w:widowControl/>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lang w:eastAsia="zh-CN"/>
              </w:rPr>
              <w:t>计划安排</w:t>
            </w:r>
            <w:r>
              <w:rPr>
                <w:rFonts w:hint="eastAsia" w:ascii="宋体" w:hAnsi="宋体" w:cs="宋体"/>
                <w:spacing w:val="-1"/>
                <w:sz w:val="21"/>
                <w:szCs w:val="21"/>
                <w:highlight w:val="none"/>
                <w:lang w:val="en-US" w:eastAsia="zh-CN"/>
              </w:rPr>
              <w:t>基本</w:t>
            </w:r>
            <w:r>
              <w:rPr>
                <w:rFonts w:hint="eastAsia" w:ascii="宋体" w:hAnsi="宋体" w:eastAsia="宋体" w:cs="宋体"/>
                <w:spacing w:val="-1"/>
                <w:sz w:val="21"/>
                <w:szCs w:val="21"/>
                <w:highlight w:val="none"/>
                <w:lang w:eastAsia="zh-CN"/>
              </w:rPr>
              <w:t>合理，节点服务期限</w:t>
            </w:r>
            <w:r>
              <w:rPr>
                <w:rFonts w:hint="eastAsia" w:ascii="宋体" w:hAnsi="宋体" w:cs="宋体"/>
                <w:spacing w:val="-1"/>
                <w:sz w:val="21"/>
                <w:szCs w:val="21"/>
                <w:highlight w:val="none"/>
                <w:lang w:val="en-US" w:eastAsia="zh-CN"/>
              </w:rPr>
              <w:t>基本</w:t>
            </w:r>
            <w:r>
              <w:rPr>
                <w:rFonts w:hint="eastAsia" w:ascii="宋体" w:hAnsi="宋体" w:eastAsia="宋体" w:cs="宋体"/>
                <w:spacing w:val="-1"/>
                <w:sz w:val="21"/>
                <w:szCs w:val="21"/>
                <w:highlight w:val="none"/>
                <w:lang w:eastAsia="zh-CN"/>
              </w:rPr>
              <w:t>满足要求，后续工作</w:t>
            </w:r>
            <w:r>
              <w:rPr>
                <w:rFonts w:hint="eastAsia" w:cs="宋体"/>
                <w:spacing w:val="-1"/>
                <w:sz w:val="21"/>
                <w:szCs w:val="21"/>
                <w:highlight w:val="none"/>
                <w:lang w:val="en-US" w:eastAsia="zh-CN"/>
              </w:rPr>
              <w:t>基本</w:t>
            </w:r>
            <w:r>
              <w:rPr>
                <w:rFonts w:hint="eastAsia" w:ascii="宋体" w:hAnsi="宋体" w:eastAsia="宋体" w:cs="宋体"/>
                <w:spacing w:val="-1"/>
                <w:sz w:val="21"/>
                <w:szCs w:val="21"/>
                <w:highlight w:val="none"/>
                <w:lang w:eastAsia="zh-CN"/>
              </w:rPr>
              <w:t>能够按照招标人要求按期</w:t>
            </w:r>
            <w:r>
              <w:rPr>
                <w:rFonts w:hint="eastAsia" w:ascii="宋体" w:hAnsi="宋体" w:eastAsia="宋体" w:cs="宋体"/>
                <w:spacing w:val="-8"/>
                <w:sz w:val="21"/>
                <w:szCs w:val="21"/>
                <w:highlight w:val="none"/>
                <w:lang w:eastAsia="zh-CN"/>
              </w:rPr>
              <w:t>完成,保障措施</w:t>
            </w:r>
            <w:r>
              <w:rPr>
                <w:rFonts w:hint="eastAsia" w:cs="宋体"/>
                <w:spacing w:val="-8"/>
                <w:sz w:val="21"/>
                <w:szCs w:val="21"/>
                <w:highlight w:val="none"/>
                <w:lang w:val="en-US" w:eastAsia="zh-CN"/>
              </w:rPr>
              <w:t>基本得</w:t>
            </w:r>
            <w:r>
              <w:rPr>
                <w:rFonts w:hint="eastAsia" w:ascii="宋体" w:hAnsi="宋体" w:eastAsia="宋体" w:cs="宋体"/>
                <w:spacing w:val="-8"/>
                <w:sz w:val="21"/>
                <w:szCs w:val="21"/>
                <w:highlight w:val="none"/>
                <w:lang w:eastAsia="zh-CN"/>
              </w:rPr>
              <w:t>当、可行</w:t>
            </w:r>
            <w:r>
              <w:rPr>
                <w:rFonts w:hint="eastAsia" w:cs="宋体"/>
                <w:spacing w:val="-8"/>
                <w:sz w:val="21"/>
                <w:szCs w:val="21"/>
                <w:highlight w:val="none"/>
                <w:lang w:eastAsia="zh-CN"/>
              </w:rPr>
              <w:t>，</w:t>
            </w:r>
            <w:r>
              <w:rPr>
                <w:rFonts w:hint="eastAsia" w:ascii="宋体" w:hAnsi="宋体" w:eastAsia="宋体" w:cs="宋体"/>
                <w:spacing w:val="-5"/>
                <w:sz w:val="21"/>
                <w:szCs w:val="21"/>
                <w:highlight w:val="none"/>
                <w:lang w:eastAsia="zh-CN"/>
              </w:rPr>
              <w:t>得基本分 6 分</w:t>
            </w:r>
            <w:r>
              <w:rPr>
                <w:rFonts w:hint="eastAsia" w:cs="宋体"/>
                <w:spacing w:val="-5"/>
                <w:sz w:val="21"/>
                <w:szCs w:val="21"/>
                <w:highlight w:val="none"/>
                <w:lang w:eastAsia="zh-CN"/>
              </w:rPr>
              <w:t>。</w:t>
            </w:r>
          </w:p>
        </w:tc>
      </w:tr>
      <w:tr w14:paraId="6CEDB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4" w:hRule="atLeast"/>
          <w:jc w:val="center"/>
        </w:trPr>
        <w:tc>
          <w:tcPr>
            <w:tcW w:w="977" w:type="dxa"/>
            <w:vMerge w:val="continue"/>
            <w:vAlign w:val="center"/>
          </w:tcPr>
          <w:p w14:paraId="1E6DFE08">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continue"/>
            <w:vAlign w:val="center"/>
          </w:tcPr>
          <w:p w14:paraId="30DBB6A9">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837" w:type="dxa"/>
            <w:vMerge w:val="continue"/>
            <w:vAlign w:val="center"/>
          </w:tcPr>
          <w:p w14:paraId="5F4296BB">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1609" w:type="dxa"/>
            <w:tcBorders>
              <w:right w:val="single" w:color="auto" w:sz="4" w:space="0"/>
            </w:tcBorders>
            <w:vAlign w:val="center"/>
          </w:tcPr>
          <w:p w14:paraId="7D40D7CC">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spacing w:val="-2"/>
                <w:sz w:val="21"/>
                <w:szCs w:val="21"/>
                <w:highlight w:val="none"/>
              </w:rPr>
              <w:t>质量保证措施</w:t>
            </w:r>
          </w:p>
        </w:tc>
        <w:tc>
          <w:tcPr>
            <w:tcW w:w="631" w:type="dxa"/>
            <w:tcBorders>
              <w:left w:val="single" w:color="auto" w:sz="4" w:space="0"/>
              <w:right w:val="single" w:color="auto" w:sz="4" w:space="0"/>
            </w:tcBorders>
            <w:vAlign w:val="center"/>
          </w:tcPr>
          <w:p w14:paraId="14B0EEBF">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w:t>
            </w:r>
            <w:r>
              <w:rPr>
                <w:rFonts w:hint="eastAsia" w:ascii="宋体" w:hAnsi="宋体" w:eastAsia="宋体" w:cs="宋体"/>
                <w:spacing w:val="-42"/>
                <w:sz w:val="21"/>
                <w:szCs w:val="21"/>
                <w:highlight w:val="none"/>
              </w:rPr>
              <w:t xml:space="preserve"> </w:t>
            </w:r>
            <w:r>
              <w:rPr>
                <w:rFonts w:hint="eastAsia" w:ascii="宋体" w:hAnsi="宋体" w:eastAsia="宋体" w:cs="宋体"/>
                <w:spacing w:val="-7"/>
                <w:sz w:val="21"/>
                <w:szCs w:val="21"/>
                <w:highlight w:val="none"/>
              </w:rPr>
              <w:t>分</w:t>
            </w:r>
          </w:p>
        </w:tc>
        <w:tc>
          <w:tcPr>
            <w:tcW w:w="4912" w:type="dxa"/>
            <w:tcBorders>
              <w:left w:val="single" w:color="auto" w:sz="4" w:space="0"/>
            </w:tcBorders>
          </w:tcPr>
          <w:p w14:paraId="28A4EA99">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cs="宋体"/>
                <w:spacing w:val="5"/>
                <w:sz w:val="21"/>
                <w:szCs w:val="21"/>
                <w:highlight w:val="none"/>
                <w:lang w:eastAsia="zh-CN"/>
              </w:rPr>
            </w:pPr>
            <w:r>
              <w:rPr>
                <w:rFonts w:hint="eastAsia" w:ascii="宋体" w:hAnsi="宋体" w:eastAsia="宋体" w:cs="宋体"/>
                <w:spacing w:val="-3"/>
                <w:sz w:val="21"/>
                <w:szCs w:val="21"/>
                <w:highlight w:val="none"/>
                <w:lang w:eastAsia="zh-CN"/>
              </w:rPr>
              <w:t>质量保证措施得当、内控机制健全</w:t>
            </w:r>
            <w:r>
              <w:rPr>
                <w:rFonts w:hint="eastAsia" w:cs="宋体"/>
                <w:spacing w:val="-3"/>
                <w:sz w:val="21"/>
                <w:szCs w:val="21"/>
                <w:highlight w:val="none"/>
                <w:lang w:eastAsia="zh-CN"/>
              </w:rPr>
              <w:t>，</w:t>
            </w:r>
            <w:r>
              <w:rPr>
                <w:rFonts w:hint="eastAsia" w:ascii="宋体" w:hAnsi="宋体" w:eastAsia="宋体" w:cs="宋体"/>
                <w:spacing w:val="5"/>
                <w:sz w:val="21"/>
                <w:szCs w:val="21"/>
                <w:highlight w:val="none"/>
                <w:lang w:eastAsia="zh-CN"/>
              </w:rPr>
              <w:t>得</w:t>
            </w:r>
            <w:r>
              <w:rPr>
                <w:rFonts w:hint="eastAsia" w:ascii="宋体" w:hAnsi="宋体" w:eastAsia="宋体" w:cs="宋体"/>
                <w:spacing w:val="-37"/>
                <w:sz w:val="21"/>
                <w:szCs w:val="21"/>
                <w:highlight w:val="none"/>
                <w:lang w:eastAsia="zh-CN"/>
              </w:rPr>
              <w:t xml:space="preserve"> </w:t>
            </w:r>
            <w:r>
              <w:rPr>
                <w:rFonts w:hint="eastAsia" w:ascii="宋体" w:hAnsi="宋体" w:eastAsia="宋体" w:cs="宋体"/>
                <w:spacing w:val="5"/>
                <w:sz w:val="21"/>
                <w:szCs w:val="21"/>
                <w:highlight w:val="none"/>
                <w:lang w:eastAsia="zh-CN"/>
              </w:rPr>
              <w:t>4～5分</w:t>
            </w:r>
            <w:r>
              <w:rPr>
                <w:rFonts w:hint="eastAsia" w:cs="宋体"/>
                <w:spacing w:val="5"/>
                <w:sz w:val="21"/>
                <w:szCs w:val="21"/>
                <w:highlight w:val="none"/>
                <w:lang w:eastAsia="zh-CN"/>
              </w:rPr>
              <w:t>；</w:t>
            </w:r>
          </w:p>
          <w:p w14:paraId="5DF8CFC6">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eastAsia="zh-CN"/>
              </w:rPr>
              <w:t>质量保证措施</w:t>
            </w:r>
            <w:r>
              <w:rPr>
                <w:rFonts w:hint="eastAsia" w:cs="宋体"/>
                <w:spacing w:val="-3"/>
                <w:sz w:val="21"/>
                <w:szCs w:val="21"/>
                <w:highlight w:val="none"/>
                <w:lang w:val="en-US" w:eastAsia="zh-CN"/>
              </w:rPr>
              <w:t>较</w:t>
            </w:r>
            <w:r>
              <w:rPr>
                <w:rFonts w:hint="eastAsia" w:ascii="宋体" w:hAnsi="宋体" w:eastAsia="宋体" w:cs="宋体"/>
                <w:spacing w:val="-3"/>
                <w:sz w:val="21"/>
                <w:szCs w:val="21"/>
                <w:highlight w:val="none"/>
                <w:lang w:eastAsia="zh-CN"/>
              </w:rPr>
              <w:t>得当、内控机制</w:t>
            </w:r>
            <w:r>
              <w:rPr>
                <w:rFonts w:hint="eastAsia" w:cs="宋体"/>
                <w:spacing w:val="-3"/>
                <w:sz w:val="21"/>
                <w:szCs w:val="21"/>
                <w:highlight w:val="none"/>
                <w:lang w:val="en-US" w:eastAsia="zh-CN"/>
              </w:rPr>
              <w:t>较</w:t>
            </w:r>
            <w:r>
              <w:rPr>
                <w:rFonts w:hint="eastAsia" w:ascii="宋体" w:hAnsi="宋体" w:eastAsia="宋体" w:cs="宋体"/>
                <w:spacing w:val="-3"/>
                <w:sz w:val="21"/>
                <w:szCs w:val="21"/>
                <w:highlight w:val="none"/>
                <w:lang w:eastAsia="zh-CN"/>
              </w:rPr>
              <w:t>健全</w:t>
            </w:r>
            <w:r>
              <w:rPr>
                <w:rFonts w:hint="eastAsia" w:cs="宋体"/>
                <w:spacing w:val="-3"/>
                <w:sz w:val="21"/>
                <w:szCs w:val="21"/>
                <w:highlight w:val="none"/>
                <w:lang w:eastAsia="zh-CN"/>
              </w:rPr>
              <w:t>，</w:t>
            </w:r>
            <w:r>
              <w:rPr>
                <w:rFonts w:hint="eastAsia" w:ascii="宋体" w:hAnsi="宋体" w:eastAsia="宋体" w:cs="宋体"/>
                <w:spacing w:val="-2"/>
                <w:sz w:val="21"/>
                <w:szCs w:val="21"/>
                <w:highlight w:val="none"/>
                <w:lang w:eastAsia="zh-CN"/>
              </w:rPr>
              <w:t>得</w:t>
            </w:r>
            <w:r>
              <w:rPr>
                <w:rFonts w:hint="eastAsia" w:ascii="宋体" w:hAnsi="宋体" w:eastAsia="宋体" w:cs="宋体"/>
                <w:spacing w:val="-25"/>
                <w:sz w:val="21"/>
                <w:szCs w:val="21"/>
                <w:highlight w:val="none"/>
                <w:lang w:eastAsia="zh-CN"/>
              </w:rPr>
              <w:t xml:space="preserve"> </w:t>
            </w:r>
            <w:r>
              <w:rPr>
                <w:rFonts w:hint="eastAsia" w:ascii="宋体" w:hAnsi="宋体" w:eastAsia="宋体" w:cs="宋体"/>
                <w:spacing w:val="-2"/>
                <w:sz w:val="21"/>
                <w:szCs w:val="21"/>
                <w:highlight w:val="none"/>
                <w:lang w:eastAsia="zh-CN"/>
              </w:rPr>
              <w:t>3～4分；</w:t>
            </w:r>
          </w:p>
          <w:p w14:paraId="69FD6982">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eastAsia="zh-CN"/>
              </w:rPr>
              <w:t>质量保证措施</w:t>
            </w:r>
            <w:r>
              <w:rPr>
                <w:rFonts w:hint="eastAsia" w:cs="宋体"/>
                <w:spacing w:val="-3"/>
                <w:sz w:val="21"/>
                <w:szCs w:val="21"/>
                <w:highlight w:val="none"/>
                <w:lang w:val="en-US" w:eastAsia="zh-CN"/>
              </w:rPr>
              <w:t>基本</w:t>
            </w:r>
            <w:r>
              <w:rPr>
                <w:rFonts w:hint="eastAsia" w:ascii="宋体" w:hAnsi="宋体" w:eastAsia="宋体" w:cs="宋体"/>
                <w:spacing w:val="-3"/>
                <w:sz w:val="21"/>
                <w:szCs w:val="21"/>
                <w:highlight w:val="none"/>
                <w:lang w:eastAsia="zh-CN"/>
              </w:rPr>
              <w:t>得当、内控机制</w:t>
            </w:r>
            <w:r>
              <w:rPr>
                <w:rFonts w:hint="eastAsia" w:cs="宋体"/>
                <w:spacing w:val="-3"/>
                <w:sz w:val="21"/>
                <w:szCs w:val="21"/>
                <w:highlight w:val="none"/>
                <w:lang w:val="en-US" w:eastAsia="zh-CN"/>
              </w:rPr>
              <w:t>基本</w:t>
            </w:r>
            <w:r>
              <w:rPr>
                <w:rFonts w:hint="eastAsia" w:ascii="宋体" w:hAnsi="宋体" w:eastAsia="宋体" w:cs="宋体"/>
                <w:spacing w:val="-3"/>
                <w:sz w:val="21"/>
                <w:szCs w:val="21"/>
                <w:highlight w:val="none"/>
                <w:lang w:eastAsia="zh-CN"/>
              </w:rPr>
              <w:t>健全</w:t>
            </w:r>
            <w:r>
              <w:rPr>
                <w:rFonts w:hint="eastAsia" w:cs="宋体"/>
                <w:spacing w:val="-3"/>
                <w:sz w:val="21"/>
                <w:szCs w:val="21"/>
                <w:highlight w:val="none"/>
                <w:lang w:eastAsia="zh-CN"/>
              </w:rPr>
              <w:t>，</w:t>
            </w:r>
            <w:r>
              <w:rPr>
                <w:rFonts w:hint="eastAsia" w:ascii="宋体" w:hAnsi="宋体" w:eastAsia="宋体" w:cs="宋体"/>
                <w:spacing w:val="-6"/>
                <w:sz w:val="21"/>
                <w:szCs w:val="21"/>
                <w:highlight w:val="none"/>
                <w:lang w:eastAsia="zh-CN"/>
              </w:rPr>
              <w:t>得基本分 3</w:t>
            </w:r>
            <w:r>
              <w:rPr>
                <w:rFonts w:hint="eastAsia" w:ascii="宋体" w:hAnsi="宋体" w:eastAsia="宋体" w:cs="宋体"/>
                <w:spacing w:val="-63"/>
                <w:sz w:val="21"/>
                <w:szCs w:val="21"/>
                <w:highlight w:val="none"/>
                <w:lang w:eastAsia="zh-CN"/>
              </w:rPr>
              <w:t xml:space="preserve"> </w:t>
            </w:r>
            <w:r>
              <w:rPr>
                <w:rFonts w:hint="eastAsia" w:ascii="宋体" w:hAnsi="宋体" w:eastAsia="宋体" w:cs="宋体"/>
                <w:spacing w:val="-6"/>
                <w:sz w:val="21"/>
                <w:szCs w:val="21"/>
                <w:highlight w:val="none"/>
                <w:lang w:eastAsia="zh-CN"/>
              </w:rPr>
              <w:t>分；</w:t>
            </w:r>
          </w:p>
        </w:tc>
      </w:tr>
      <w:tr w14:paraId="34E6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14:paraId="0463F6AF">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continue"/>
            <w:vAlign w:val="center"/>
          </w:tcPr>
          <w:p w14:paraId="16391AA3">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837" w:type="dxa"/>
            <w:vMerge w:val="continue"/>
            <w:vAlign w:val="center"/>
          </w:tcPr>
          <w:p w14:paraId="586E1B88">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1609" w:type="dxa"/>
            <w:tcBorders>
              <w:right w:val="single" w:color="auto" w:sz="4" w:space="0"/>
            </w:tcBorders>
            <w:vAlign w:val="center"/>
          </w:tcPr>
          <w:p w14:paraId="28E1E18F">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lang w:eastAsia="zh-CN"/>
              </w:rPr>
              <w:t>对可能发现的问题类型提出切实可行的处理建议和维护方案</w:t>
            </w:r>
          </w:p>
        </w:tc>
        <w:tc>
          <w:tcPr>
            <w:tcW w:w="631" w:type="dxa"/>
            <w:tcBorders>
              <w:left w:val="single" w:color="auto" w:sz="4" w:space="0"/>
              <w:right w:val="single" w:color="auto" w:sz="4" w:space="0"/>
            </w:tcBorders>
            <w:vAlign w:val="center"/>
          </w:tcPr>
          <w:p w14:paraId="40DC8FB8">
            <w:pPr>
              <w:pStyle w:val="11"/>
              <w:keepNext w:val="0"/>
              <w:keepLines w:val="0"/>
              <w:pageBreakBefore w:val="0"/>
              <w:widowControl w:val="0"/>
              <w:kinsoku/>
              <w:wordWrap/>
              <w:overflowPunct/>
              <w:topLinePunct w:val="0"/>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w:t>
            </w:r>
            <w:r>
              <w:rPr>
                <w:rFonts w:hint="eastAsia" w:ascii="宋体" w:hAnsi="宋体" w:eastAsia="宋体" w:cs="宋体"/>
                <w:spacing w:val="-42"/>
                <w:sz w:val="21"/>
                <w:szCs w:val="21"/>
                <w:highlight w:val="none"/>
              </w:rPr>
              <w:t xml:space="preserve"> </w:t>
            </w:r>
            <w:r>
              <w:rPr>
                <w:rFonts w:hint="eastAsia" w:ascii="宋体" w:hAnsi="宋体" w:eastAsia="宋体" w:cs="宋体"/>
                <w:spacing w:val="-7"/>
                <w:sz w:val="21"/>
                <w:szCs w:val="21"/>
                <w:highlight w:val="none"/>
              </w:rPr>
              <w:t>分</w:t>
            </w:r>
          </w:p>
        </w:tc>
        <w:tc>
          <w:tcPr>
            <w:tcW w:w="4912" w:type="dxa"/>
            <w:tcBorders>
              <w:left w:val="single" w:color="auto" w:sz="4" w:space="0"/>
            </w:tcBorders>
          </w:tcPr>
          <w:p w14:paraId="6993F286">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cs="宋体"/>
                <w:spacing w:val="1"/>
                <w:sz w:val="21"/>
                <w:szCs w:val="21"/>
                <w:highlight w:val="none"/>
                <w:lang w:eastAsia="zh-CN"/>
              </w:rPr>
            </w:pPr>
            <w:r>
              <w:rPr>
                <w:rFonts w:hint="eastAsia" w:ascii="宋体" w:hAnsi="宋体" w:eastAsia="宋体" w:cs="宋体"/>
                <w:spacing w:val="-3"/>
                <w:sz w:val="21"/>
                <w:szCs w:val="21"/>
                <w:highlight w:val="none"/>
                <w:lang w:eastAsia="zh-CN"/>
              </w:rPr>
              <w:t>处理建议及维护方案具有针对性和可操作性</w:t>
            </w:r>
            <w:r>
              <w:rPr>
                <w:rFonts w:hint="eastAsia" w:cs="宋体"/>
                <w:spacing w:val="-3"/>
                <w:sz w:val="21"/>
                <w:szCs w:val="21"/>
                <w:highlight w:val="none"/>
                <w:lang w:eastAsia="zh-CN"/>
              </w:rPr>
              <w:t>，</w:t>
            </w:r>
            <w:r>
              <w:rPr>
                <w:rFonts w:hint="eastAsia" w:ascii="宋体" w:hAnsi="宋体" w:eastAsia="宋体" w:cs="宋体"/>
                <w:spacing w:val="1"/>
                <w:sz w:val="21"/>
                <w:szCs w:val="21"/>
                <w:highlight w:val="none"/>
                <w:lang w:eastAsia="zh-CN"/>
              </w:rPr>
              <w:t>得</w:t>
            </w:r>
            <w:r>
              <w:rPr>
                <w:rFonts w:hint="eastAsia" w:ascii="宋体" w:hAnsi="宋体" w:eastAsia="宋体" w:cs="宋体"/>
                <w:spacing w:val="-35"/>
                <w:sz w:val="21"/>
                <w:szCs w:val="21"/>
                <w:highlight w:val="none"/>
                <w:lang w:eastAsia="zh-CN"/>
              </w:rPr>
              <w:t xml:space="preserve"> </w:t>
            </w:r>
            <w:r>
              <w:rPr>
                <w:rFonts w:hint="eastAsia" w:ascii="宋体" w:hAnsi="宋体" w:eastAsia="宋体" w:cs="宋体"/>
                <w:spacing w:val="1"/>
                <w:sz w:val="21"/>
                <w:szCs w:val="21"/>
                <w:highlight w:val="none"/>
                <w:lang w:eastAsia="zh-CN"/>
              </w:rPr>
              <w:t>4～5分</w:t>
            </w:r>
            <w:r>
              <w:rPr>
                <w:rFonts w:hint="eastAsia" w:cs="宋体"/>
                <w:spacing w:val="1"/>
                <w:sz w:val="21"/>
                <w:szCs w:val="21"/>
                <w:highlight w:val="none"/>
                <w:lang w:eastAsia="zh-CN"/>
              </w:rPr>
              <w:t>；</w:t>
            </w:r>
          </w:p>
          <w:p w14:paraId="7AE8B7BA">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eastAsia="zh-CN"/>
              </w:rPr>
              <w:t>处理建议及维护方案针对性</w:t>
            </w:r>
            <w:r>
              <w:rPr>
                <w:rFonts w:hint="eastAsia" w:cs="宋体"/>
                <w:spacing w:val="-3"/>
                <w:sz w:val="21"/>
                <w:szCs w:val="21"/>
                <w:highlight w:val="none"/>
                <w:lang w:val="en-US" w:eastAsia="zh-CN"/>
              </w:rPr>
              <w:t>较好</w:t>
            </w:r>
            <w:r>
              <w:rPr>
                <w:rFonts w:hint="eastAsia" w:cs="宋体"/>
                <w:spacing w:val="-3"/>
                <w:sz w:val="21"/>
                <w:szCs w:val="21"/>
                <w:highlight w:val="none"/>
                <w:lang w:eastAsia="zh-CN"/>
              </w:rPr>
              <w:t>，</w:t>
            </w:r>
            <w:r>
              <w:rPr>
                <w:rFonts w:hint="eastAsia" w:ascii="宋体" w:hAnsi="宋体" w:eastAsia="宋体" w:cs="宋体"/>
                <w:spacing w:val="-3"/>
                <w:sz w:val="21"/>
                <w:szCs w:val="21"/>
                <w:highlight w:val="none"/>
                <w:lang w:eastAsia="zh-CN"/>
              </w:rPr>
              <w:t>可操作性</w:t>
            </w:r>
            <w:r>
              <w:rPr>
                <w:rFonts w:hint="eastAsia" w:cs="宋体"/>
                <w:spacing w:val="-3"/>
                <w:sz w:val="21"/>
                <w:szCs w:val="21"/>
                <w:highlight w:val="none"/>
                <w:lang w:val="en-US" w:eastAsia="zh-CN"/>
              </w:rPr>
              <w:t>较好</w:t>
            </w:r>
            <w:r>
              <w:rPr>
                <w:rFonts w:hint="eastAsia" w:cs="宋体"/>
                <w:spacing w:val="-3"/>
                <w:sz w:val="21"/>
                <w:szCs w:val="21"/>
                <w:highlight w:val="none"/>
                <w:lang w:eastAsia="zh-CN"/>
              </w:rPr>
              <w:t>，</w:t>
            </w:r>
            <w:r>
              <w:rPr>
                <w:rFonts w:hint="eastAsia" w:ascii="宋体" w:hAnsi="宋体" w:eastAsia="宋体" w:cs="宋体"/>
                <w:spacing w:val="-2"/>
                <w:sz w:val="21"/>
                <w:szCs w:val="21"/>
                <w:highlight w:val="none"/>
                <w:lang w:eastAsia="zh-CN"/>
              </w:rPr>
              <w:t>得</w:t>
            </w:r>
            <w:r>
              <w:rPr>
                <w:rFonts w:hint="eastAsia" w:ascii="宋体" w:hAnsi="宋体" w:eastAsia="宋体" w:cs="宋体"/>
                <w:spacing w:val="-25"/>
                <w:sz w:val="21"/>
                <w:szCs w:val="21"/>
                <w:highlight w:val="none"/>
                <w:lang w:eastAsia="zh-CN"/>
              </w:rPr>
              <w:t xml:space="preserve"> </w:t>
            </w:r>
            <w:r>
              <w:rPr>
                <w:rFonts w:hint="eastAsia" w:ascii="宋体" w:hAnsi="宋体" w:eastAsia="宋体" w:cs="宋体"/>
                <w:spacing w:val="-2"/>
                <w:sz w:val="21"/>
                <w:szCs w:val="21"/>
                <w:highlight w:val="none"/>
                <w:lang w:eastAsia="zh-CN"/>
              </w:rPr>
              <w:t>3～4分；</w:t>
            </w:r>
          </w:p>
          <w:p w14:paraId="1C327D06">
            <w:pPr>
              <w:pStyle w:val="11"/>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lang w:eastAsia="zh-CN"/>
              </w:rPr>
              <w:t>处理建议及维护方案针对性</w:t>
            </w:r>
            <w:r>
              <w:rPr>
                <w:rFonts w:hint="eastAsia" w:cs="宋体"/>
                <w:spacing w:val="-3"/>
                <w:sz w:val="21"/>
                <w:szCs w:val="21"/>
                <w:highlight w:val="none"/>
                <w:lang w:val="en-US" w:eastAsia="zh-CN"/>
              </w:rPr>
              <w:t>一般</w:t>
            </w:r>
            <w:r>
              <w:rPr>
                <w:rFonts w:hint="eastAsia" w:cs="宋体"/>
                <w:spacing w:val="-3"/>
                <w:sz w:val="21"/>
                <w:szCs w:val="21"/>
                <w:highlight w:val="none"/>
                <w:lang w:eastAsia="zh-CN"/>
              </w:rPr>
              <w:t>，</w:t>
            </w:r>
            <w:r>
              <w:rPr>
                <w:rFonts w:hint="eastAsia" w:ascii="宋体" w:hAnsi="宋体" w:eastAsia="宋体" w:cs="宋体"/>
                <w:spacing w:val="-3"/>
                <w:sz w:val="21"/>
                <w:szCs w:val="21"/>
                <w:highlight w:val="none"/>
                <w:lang w:eastAsia="zh-CN"/>
              </w:rPr>
              <w:t>可操作性</w:t>
            </w:r>
            <w:r>
              <w:rPr>
                <w:rFonts w:hint="eastAsia" w:cs="宋体"/>
                <w:spacing w:val="-3"/>
                <w:sz w:val="21"/>
                <w:szCs w:val="21"/>
                <w:highlight w:val="none"/>
                <w:lang w:val="en-US" w:eastAsia="zh-CN"/>
              </w:rPr>
              <w:t>一般</w:t>
            </w:r>
            <w:r>
              <w:rPr>
                <w:rFonts w:hint="eastAsia" w:cs="宋体"/>
                <w:spacing w:val="-3"/>
                <w:sz w:val="21"/>
                <w:szCs w:val="21"/>
                <w:highlight w:val="none"/>
                <w:lang w:eastAsia="zh-CN"/>
              </w:rPr>
              <w:t>，</w:t>
            </w:r>
            <w:r>
              <w:rPr>
                <w:rFonts w:hint="eastAsia" w:ascii="宋体" w:hAnsi="宋体" w:eastAsia="宋体" w:cs="宋体"/>
                <w:spacing w:val="-6"/>
                <w:sz w:val="21"/>
                <w:szCs w:val="21"/>
                <w:highlight w:val="none"/>
                <w:lang w:eastAsia="zh-CN"/>
              </w:rPr>
              <w:t>得基本分 3</w:t>
            </w:r>
            <w:r>
              <w:rPr>
                <w:rFonts w:hint="eastAsia" w:ascii="宋体" w:hAnsi="宋体" w:eastAsia="宋体" w:cs="宋体"/>
                <w:spacing w:val="-63"/>
                <w:sz w:val="21"/>
                <w:szCs w:val="21"/>
                <w:highlight w:val="none"/>
                <w:lang w:eastAsia="zh-CN"/>
              </w:rPr>
              <w:t xml:space="preserve"> </w:t>
            </w:r>
            <w:r>
              <w:rPr>
                <w:rFonts w:hint="eastAsia" w:ascii="宋体" w:hAnsi="宋体" w:eastAsia="宋体" w:cs="宋体"/>
                <w:spacing w:val="-6"/>
                <w:sz w:val="21"/>
                <w:szCs w:val="21"/>
                <w:highlight w:val="none"/>
                <w:lang w:eastAsia="zh-CN"/>
              </w:rPr>
              <w:t>分；</w:t>
            </w:r>
          </w:p>
        </w:tc>
      </w:tr>
      <w:tr w14:paraId="0BC44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7" w:hRule="atLeast"/>
          <w:jc w:val="center"/>
        </w:trPr>
        <w:tc>
          <w:tcPr>
            <w:tcW w:w="977" w:type="dxa"/>
            <w:vMerge w:val="restart"/>
            <w:vAlign w:val="center"/>
          </w:tcPr>
          <w:p w14:paraId="5D889122">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2.2.4(2)</w:t>
            </w:r>
          </w:p>
        </w:tc>
        <w:tc>
          <w:tcPr>
            <w:tcW w:w="516" w:type="dxa"/>
            <w:vMerge w:val="restart"/>
            <w:vAlign w:val="center"/>
          </w:tcPr>
          <w:p w14:paraId="01CB3A06">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主要人员</w:t>
            </w:r>
          </w:p>
        </w:tc>
        <w:tc>
          <w:tcPr>
            <w:tcW w:w="837" w:type="dxa"/>
            <w:vAlign w:val="center"/>
          </w:tcPr>
          <w:p w14:paraId="0A071775">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项目负责人  10分</w:t>
            </w:r>
          </w:p>
        </w:tc>
        <w:tc>
          <w:tcPr>
            <w:tcW w:w="7152" w:type="dxa"/>
            <w:gridSpan w:val="3"/>
            <w:vAlign w:val="center"/>
          </w:tcPr>
          <w:p w14:paraId="2C9C4F2B">
            <w:pPr>
              <w:pStyle w:val="11"/>
              <w:keepNext w:val="0"/>
              <w:keepLines w:val="0"/>
              <w:pageBreakBefore w:val="0"/>
              <w:widowControl w:val="0"/>
              <w:kinsoku/>
              <w:wordWrap/>
              <w:overflowPunct/>
              <w:topLinePunct w:val="0"/>
              <w:bidi w:val="0"/>
              <w:adjustRightInd/>
              <w:snapToGrid w:val="0"/>
              <w:spacing w:line="320" w:lineRule="exact"/>
              <w:ind w:left="10" w:right="5" w:firstLine="4"/>
              <w:textAlignment w:val="auto"/>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lang w:eastAsia="zh-CN"/>
              </w:rPr>
              <w:t>投标人满足资格审查条件（</w:t>
            </w:r>
            <w:r>
              <w:rPr>
                <w:rFonts w:hint="eastAsia" w:cs="宋体"/>
                <w:sz w:val="21"/>
                <w:szCs w:val="21"/>
                <w:highlight w:val="none"/>
                <w:lang w:val="en-US" w:eastAsia="zh-CN"/>
              </w:rPr>
              <w:t>项目负责人</w:t>
            </w:r>
            <w:r>
              <w:rPr>
                <w:rFonts w:hint="eastAsia" w:ascii="宋体" w:hAnsi="宋体" w:eastAsia="宋体" w:cs="宋体"/>
                <w:sz w:val="21"/>
                <w:szCs w:val="21"/>
                <w:highlight w:val="none"/>
                <w:lang w:eastAsia="zh-CN"/>
              </w:rPr>
              <w:t>最低要求）得1</w:t>
            </w:r>
            <w:r>
              <w:rPr>
                <w:rFonts w:hint="eastAsia" w:cs="宋体"/>
                <w:sz w:val="21"/>
                <w:szCs w:val="21"/>
                <w:highlight w:val="none"/>
                <w:lang w:val="en-US" w:eastAsia="zh-CN"/>
              </w:rPr>
              <w:t>0</w:t>
            </w:r>
            <w:r>
              <w:rPr>
                <w:rFonts w:hint="eastAsia" w:ascii="宋体" w:hAnsi="宋体" w:eastAsia="宋体" w:cs="宋体"/>
                <w:sz w:val="21"/>
                <w:szCs w:val="21"/>
                <w:highlight w:val="none"/>
                <w:lang w:eastAsia="zh-CN"/>
              </w:rPr>
              <w:t>分。</w:t>
            </w:r>
          </w:p>
        </w:tc>
      </w:tr>
      <w:tr w14:paraId="24A7C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977" w:type="dxa"/>
            <w:vMerge w:val="continue"/>
            <w:vAlign w:val="center"/>
          </w:tcPr>
          <w:p w14:paraId="7A718170">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516" w:type="dxa"/>
            <w:vMerge w:val="continue"/>
            <w:vAlign w:val="center"/>
          </w:tcPr>
          <w:p w14:paraId="6E19A867">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p>
        </w:tc>
        <w:tc>
          <w:tcPr>
            <w:tcW w:w="837" w:type="dxa"/>
            <w:vAlign w:val="center"/>
          </w:tcPr>
          <w:p w14:paraId="6571F5CD">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其他人员10分</w:t>
            </w:r>
          </w:p>
        </w:tc>
        <w:tc>
          <w:tcPr>
            <w:tcW w:w="7152" w:type="dxa"/>
            <w:gridSpan w:val="3"/>
            <w:vAlign w:val="center"/>
          </w:tcPr>
          <w:p w14:paraId="31658735">
            <w:pPr>
              <w:pStyle w:val="11"/>
              <w:keepNext w:val="0"/>
              <w:keepLines w:val="0"/>
              <w:pageBreakBefore w:val="0"/>
              <w:widowControl w:val="0"/>
              <w:kinsoku/>
              <w:wordWrap/>
              <w:overflowPunct/>
              <w:topLinePunct w:val="0"/>
              <w:bidi w:val="0"/>
              <w:adjustRightInd/>
              <w:snapToGrid w:val="0"/>
              <w:spacing w:line="320" w:lineRule="exact"/>
              <w:ind w:left="14"/>
              <w:textAlignment w:val="auto"/>
              <w:rPr>
                <w:rFonts w:hint="eastAsia" w:ascii="宋体" w:hAnsi="宋体" w:eastAsia="宋体" w:cs="宋体"/>
                <w:sz w:val="21"/>
                <w:szCs w:val="21"/>
                <w:highlight w:val="none"/>
                <w:lang w:eastAsia="zh-CN"/>
              </w:rPr>
            </w:pPr>
          </w:p>
          <w:p w14:paraId="50CF5941">
            <w:pPr>
              <w:pStyle w:val="11"/>
              <w:keepNext w:val="0"/>
              <w:keepLines w:val="0"/>
              <w:pageBreakBefore w:val="0"/>
              <w:widowControl w:val="0"/>
              <w:kinsoku/>
              <w:wordWrap/>
              <w:overflowPunct/>
              <w:topLinePunct w:val="0"/>
              <w:bidi w:val="0"/>
              <w:adjustRightInd/>
              <w:snapToGrid w:val="0"/>
              <w:spacing w:line="320" w:lineRule="exact"/>
              <w:ind w:left="10" w:right="5" w:firstLine="4"/>
              <w:textAlignment w:val="auto"/>
              <w:rPr>
                <w:rFonts w:hint="eastAsia" w:cs="宋体"/>
                <w:spacing w:val="-1"/>
                <w:sz w:val="21"/>
                <w:szCs w:val="21"/>
                <w:highlight w:val="none"/>
                <w:lang w:eastAsia="zh-CN"/>
              </w:rPr>
            </w:pPr>
            <w:r>
              <w:rPr>
                <w:rFonts w:hint="eastAsia" w:cs="宋体"/>
                <w:spacing w:val="-1"/>
                <w:sz w:val="21"/>
                <w:szCs w:val="21"/>
                <w:highlight w:val="none"/>
                <w:lang w:val="en-US" w:eastAsia="zh-CN"/>
              </w:rPr>
              <w:t>1其他人员</w:t>
            </w:r>
            <w:r>
              <w:rPr>
                <w:rFonts w:hint="eastAsia" w:ascii="宋体" w:hAnsi="宋体" w:eastAsia="宋体" w:cs="宋体"/>
                <w:spacing w:val="-1"/>
                <w:sz w:val="21"/>
                <w:szCs w:val="21"/>
                <w:highlight w:val="none"/>
                <w:lang w:eastAsia="zh-CN"/>
              </w:rPr>
              <w:t>配备6人以上（含6人）得2分</w:t>
            </w:r>
            <w:r>
              <w:rPr>
                <w:rFonts w:hint="eastAsia" w:cs="宋体"/>
                <w:spacing w:val="-1"/>
                <w:sz w:val="21"/>
                <w:szCs w:val="21"/>
                <w:highlight w:val="none"/>
                <w:lang w:eastAsia="zh-CN"/>
              </w:rPr>
              <w:t>；</w:t>
            </w:r>
          </w:p>
          <w:p w14:paraId="0F91B2F7">
            <w:pPr>
              <w:pStyle w:val="11"/>
              <w:keepNext w:val="0"/>
              <w:keepLines w:val="0"/>
              <w:pageBreakBefore w:val="0"/>
              <w:widowControl w:val="0"/>
              <w:kinsoku/>
              <w:wordWrap/>
              <w:overflowPunct/>
              <w:topLinePunct w:val="0"/>
              <w:bidi w:val="0"/>
              <w:adjustRightInd/>
              <w:snapToGrid w:val="0"/>
              <w:spacing w:line="320" w:lineRule="exact"/>
              <w:ind w:left="10" w:right="5" w:firstLine="4"/>
              <w:textAlignment w:val="auto"/>
              <w:rPr>
                <w:rFonts w:hint="eastAsia" w:ascii="宋体" w:hAnsi="宋体" w:eastAsia="宋体" w:cs="宋体"/>
                <w:sz w:val="21"/>
                <w:szCs w:val="21"/>
                <w:highlight w:val="none"/>
                <w:lang w:eastAsia="zh-CN"/>
              </w:rPr>
            </w:pPr>
            <w:r>
              <w:rPr>
                <w:rFonts w:hint="eastAsia" w:cs="宋体"/>
                <w:spacing w:val="-1"/>
                <w:sz w:val="21"/>
                <w:szCs w:val="21"/>
                <w:highlight w:val="none"/>
                <w:lang w:val="en-US" w:eastAsia="zh-CN"/>
              </w:rPr>
              <w:t>2其他人员</w:t>
            </w:r>
            <w:r>
              <w:rPr>
                <w:rFonts w:hint="eastAsia" w:ascii="宋体" w:hAnsi="宋体" w:eastAsia="宋体" w:cs="宋体"/>
                <w:spacing w:val="-1"/>
                <w:sz w:val="21"/>
                <w:szCs w:val="21"/>
                <w:highlight w:val="none"/>
                <w:lang w:eastAsia="zh-CN"/>
              </w:rPr>
              <w:t>中每有1人具有中级及以上技术职称得2分，最多得</w:t>
            </w:r>
            <w:r>
              <w:rPr>
                <w:rFonts w:hint="eastAsia" w:cs="宋体"/>
                <w:spacing w:val="-1"/>
                <w:sz w:val="21"/>
                <w:szCs w:val="21"/>
                <w:highlight w:val="none"/>
                <w:lang w:val="en-US" w:eastAsia="zh-CN"/>
              </w:rPr>
              <w:t>8</w:t>
            </w:r>
            <w:r>
              <w:rPr>
                <w:rFonts w:hint="eastAsia" w:ascii="宋体" w:hAnsi="宋体" w:eastAsia="宋体" w:cs="宋体"/>
                <w:spacing w:val="-1"/>
                <w:sz w:val="21"/>
                <w:szCs w:val="21"/>
                <w:highlight w:val="none"/>
                <w:lang w:eastAsia="zh-CN"/>
              </w:rPr>
              <w:t>分。</w:t>
            </w:r>
          </w:p>
        </w:tc>
      </w:tr>
      <w:tr w14:paraId="2EFF7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exact"/>
          <w:jc w:val="center"/>
        </w:trPr>
        <w:tc>
          <w:tcPr>
            <w:tcW w:w="977" w:type="dxa"/>
            <w:vAlign w:val="center"/>
          </w:tcPr>
          <w:p w14:paraId="04885EB6">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516" w:type="dxa"/>
            <w:vAlign w:val="center"/>
          </w:tcPr>
          <w:p w14:paraId="2357638B">
            <w:pPr>
              <w:keepNext w:val="0"/>
              <w:keepLines w:val="0"/>
              <w:pageBreakBefore w:val="0"/>
              <w:widowControl w:val="0"/>
              <w:kinsoku/>
              <w:wordWrap/>
              <w:overflowPunct/>
              <w:topLinePunct w:val="0"/>
              <w:autoSpaceDE w:val="0"/>
              <w:autoSpaceDN w:val="0"/>
              <w:bidi w:val="0"/>
              <w:adjustRightInd/>
              <w:snapToGrid w:val="0"/>
              <w:spacing w:line="3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评标价</w:t>
            </w:r>
          </w:p>
        </w:tc>
        <w:tc>
          <w:tcPr>
            <w:tcW w:w="837" w:type="dxa"/>
            <w:vAlign w:val="center"/>
          </w:tcPr>
          <w:p w14:paraId="2AEC79A7">
            <w:pPr>
              <w:keepNext w:val="0"/>
              <w:keepLines w:val="0"/>
              <w:pageBreakBefore w:val="0"/>
              <w:widowControl w:val="0"/>
              <w:kinsoku/>
              <w:wordWrap/>
              <w:overflowPunct/>
              <w:topLinePunct w:val="0"/>
              <w:autoSpaceDE w:val="0"/>
              <w:autoSpaceDN w:val="0"/>
              <w:bidi w:val="0"/>
              <w:adjustRightInd/>
              <w:snapToGrid w:val="0"/>
              <w:spacing w:line="320" w:lineRule="exact"/>
              <w:ind w:left="2" w:right="2"/>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30分</w:t>
            </w:r>
          </w:p>
        </w:tc>
        <w:tc>
          <w:tcPr>
            <w:tcW w:w="7152" w:type="dxa"/>
            <w:gridSpan w:val="3"/>
            <w:vAlign w:val="center"/>
          </w:tcPr>
          <w:p w14:paraId="4EFA5ED9">
            <w:pPr>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w:t>
            </w:r>
          </w:p>
          <w:p w14:paraId="6AAA12EC">
            <w:pPr>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（1）如果投标人的评标价＞评标基准价，则评标价得分=F-偏差率×100×E1；</w:t>
            </w:r>
          </w:p>
          <w:p w14:paraId="0D12F76C">
            <w:pPr>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（2）如果投标人的评标价≤评标基准价，则评标价得分=F+偏差率×100×E2。</w:t>
            </w:r>
          </w:p>
          <w:p w14:paraId="3F476145">
            <w:pPr>
              <w:pStyle w:val="4"/>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其中，F=30；E1=0.</w:t>
            </w:r>
            <w:r>
              <w:rPr>
                <w:rFonts w:hint="eastAsia" w:hAnsi="宋体" w:cs="宋体"/>
                <w:kern w:val="2"/>
                <w:sz w:val="21"/>
                <w:szCs w:val="21"/>
                <w:highlight w:val="none"/>
                <w:lang w:val="en-US" w:eastAsia="zh-CN"/>
              </w:rPr>
              <w:t>4</w:t>
            </w:r>
            <w:r>
              <w:rPr>
                <w:rFonts w:hint="eastAsia" w:ascii="宋体" w:hAnsi="宋体" w:eastAsia="宋体" w:cs="宋体"/>
                <w:kern w:val="2"/>
                <w:sz w:val="21"/>
                <w:szCs w:val="21"/>
                <w:highlight w:val="none"/>
              </w:rPr>
              <w:t>；E2=0.</w:t>
            </w:r>
            <w:r>
              <w:rPr>
                <w:rFonts w:hint="eastAsia" w:hAnsi="宋体" w:cs="宋体"/>
                <w:kern w:val="2"/>
                <w:sz w:val="21"/>
                <w:szCs w:val="21"/>
                <w:highlight w:val="none"/>
                <w:lang w:val="en-US" w:eastAsia="zh-CN"/>
              </w:rPr>
              <w:t>2</w:t>
            </w:r>
            <w:r>
              <w:rPr>
                <w:rFonts w:hint="eastAsia" w:ascii="宋体" w:hAnsi="宋体" w:eastAsia="宋体" w:cs="宋体"/>
                <w:kern w:val="2"/>
                <w:sz w:val="21"/>
                <w:szCs w:val="21"/>
                <w:highlight w:val="none"/>
              </w:rPr>
              <w:t>；评标价最低得分为0分。</w:t>
            </w:r>
          </w:p>
        </w:tc>
      </w:tr>
      <w:tr w14:paraId="03E67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jc w:val="center"/>
        </w:trPr>
        <w:tc>
          <w:tcPr>
            <w:tcW w:w="977" w:type="dxa"/>
            <w:vAlign w:val="center"/>
          </w:tcPr>
          <w:p w14:paraId="3D6B7FC5">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516" w:type="dxa"/>
            <w:vAlign w:val="center"/>
          </w:tcPr>
          <w:p w14:paraId="79FD92C6">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其他因素</w:t>
            </w:r>
          </w:p>
        </w:tc>
        <w:tc>
          <w:tcPr>
            <w:tcW w:w="837" w:type="dxa"/>
            <w:vAlign w:val="center"/>
          </w:tcPr>
          <w:p w14:paraId="62B86929">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业绩</w:t>
            </w:r>
          </w:p>
          <w:p w14:paraId="372B92DE">
            <w:pPr>
              <w:keepNext w:val="0"/>
              <w:keepLines w:val="0"/>
              <w:pageBreakBefore w:val="0"/>
              <w:widowControl w:val="0"/>
              <w:kinsoku/>
              <w:wordWrap/>
              <w:overflowPunct/>
              <w:topLinePunct w:val="0"/>
              <w:autoSpaceDE w:val="0"/>
              <w:autoSpaceDN w:val="0"/>
              <w:bidi w:val="0"/>
              <w:adjustRightInd/>
              <w:snapToGrid w:val="0"/>
              <w:spacing w:line="320" w:lineRule="exact"/>
              <w:ind w:right="11"/>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10分</w:t>
            </w:r>
          </w:p>
        </w:tc>
        <w:tc>
          <w:tcPr>
            <w:tcW w:w="7152" w:type="dxa"/>
            <w:gridSpan w:val="3"/>
            <w:vAlign w:val="center"/>
          </w:tcPr>
          <w:p w14:paraId="4556C39A">
            <w:pPr>
              <w:keepNext w:val="0"/>
              <w:keepLines w:val="0"/>
              <w:pageBreakBefore w:val="0"/>
              <w:widowControl w:val="0"/>
              <w:kinsoku/>
              <w:wordWrap/>
              <w:overflowPunct/>
              <w:topLinePunct w:val="0"/>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投标人满足资格审查条件（业绩最低要求）得6分。</w:t>
            </w:r>
          </w:p>
          <w:p w14:paraId="6215A172">
            <w:pPr>
              <w:keepNext w:val="0"/>
              <w:keepLines w:val="0"/>
              <w:pageBreakBefore w:val="0"/>
              <w:widowControl w:val="0"/>
              <w:kinsoku/>
              <w:wordWrap/>
              <w:overflowPunct/>
              <w:topLinePunct w:val="0"/>
              <w:autoSpaceDE w:val="0"/>
              <w:autoSpaceDN w:val="0"/>
              <w:bidi w:val="0"/>
              <w:adjustRightInd/>
              <w:snapToGrid w:val="0"/>
              <w:spacing w:line="320" w:lineRule="exact"/>
              <w:ind w:left="11" w:right="15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投标人</w:t>
            </w:r>
            <w:r>
              <w:rPr>
                <w:rFonts w:hint="eastAsia" w:ascii="宋体" w:hAnsi="宋体" w:eastAsia="宋体" w:cs="宋体"/>
                <w:sz w:val="21"/>
                <w:szCs w:val="21"/>
                <w:highlight w:val="none"/>
              </w:rPr>
              <w:t>每增加一项满足资格审查条件（业绩最低要求）的业绩加2分，最多加4分。</w:t>
            </w:r>
          </w:p>
        </w:tc>
      </w:tr>
    </w:tbl>
    <w:p w14:paraId="3CB95391">
      <w:pPr>
        <w:rPr>
          <w:rFonts w:ascii="Times New Roman" w:hAnsi="Times New Roman"/>
          <w:kern w:val="0"/>
          <w:sz w:val="20"/>
          <w:szCs w:val="20"/>
          <w:highlight w:val="none"/>
        </w:rPr>
      </w:pPr>
      <w:r>
        <w:rPr>
          <w:rFonts w:ascii="Times New Roman" w:hAnsi="Times New Roman"/>
          <w:kern w:val="0"/>
          <w:sz w:val="20"/>
          <w:szCs w:val="20"/>
          <w:highlight w:val="none"/>
        </w:rPr>
        <w:t>注：1、评审总得分应以评标委员会各成员的打分平均值确定，结果保留两位小数。</w:t>
      </w:r>
    </w:p>
    <w:p w14:paraId="5212C0BB">
      <w:pPr>
        <w:ind w:firstLine="400" w:firstLineChars="200"/>
        <w:rPr>
          <w:rFonts w:ascii="Times New Roman" w:hAnsi="Times New Roman"/>
          <w:kern w:val="0"/>
          <w:sz w:val="20"/>
          <w:szCs w:val="20"/>
          <w:highlight w:val="none"/>
        </w:rPr>
      </w:pPr>
      <w:r>
        <w:rPr>
          <w:rFonts w:ascii="Times New Roman" w:hAnsi="Times New Roman"/>
          <w:kern w:val="0"/>
          <w:sz w:val="20"/>
          <w:szCs w:val="20"/>
          <w:highlight w:val="none"/>
        </w:rPr>
        <w:t>2、评审专家对评审因素打分保留1位小数。</w:t>
      </w:r>
    </w:p>
    <w:p w14:paraId="71587E1F">
      <w:r>
        <w:rPr>
          <w:rFonts w:ascii="Times New Roman" w:hAnsi="Times New Roman"/>
          <w:kern w:val="0"/>
          <w:sz w:val="20"/>
          <w:szCs w:val="20"/>
          <w:highlight w:val="none"/>
        </w:rPr>
        <w:t>3、技术建议书各评分因素细分项的细分项缺项则该项得0分，评标价得分计算时保留两位小数。</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2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kern w:val="0"/>
      <w:sz w:val="20"/>
      <w:szCs w:val="20"/>
    </w:rPr>
  </w:style>
  <w:style w:type="character" w:customStyle="1" w:styleId="7">
    <w:name w:val="NormalCharacter"/>
    <w:link w:val="8"/>
    <w:qFormat/>
    <w:uiPriority w:val="0"/>
    <w:rPr>
      <w:kern w:val="0"/>
      <w:sz w:val="20"/>
      <w:szCs w:val="20"/>
    </w:rPr>
  </w:style>
  <w:style w:type="paragraph" w:customStyle="1" w:styleId="8">
    <w:name w:val="UserStyle_24"/>
    <w:basedOn w:val="1"/>
    <w:link w:val="7"/>
    <w:qFormat/>
    <w:uiPriority w:val="0"/>
    <w:pPr>
      <w:widowControl/>
      <w:spacing w:line="360" w:lineRule="auto"/>
      <w:ind w:firstLine="200" w:firstLineChars="200"/>
      <w:jc w:val="left"/>
    </w:pPr>
    <w:rPr>
      <w:kern w:val="0"/>
      <w:sz w:val="20"/>
      <w:szCs w:val="20"/>
    </w:rPr>
  </w:style>
  <w:style w:type="paragraph" w:customStyle="1" w:styleId="9">
    <w:name w:val="UserStyle_340"/>
    <w:basedOn w:val="1"/>
    <w:qFormat/>
    <w:uiPriority w:val="0"/>
    <w:pPr>
      <w:widowControl/>
      <w:spacing w:line="340" w:lineRule="exact"/>
      <w:jc w:val="center"/>
    </w:pPr>
    <w:rPr>
      <w:rFonts w:ascii="宋体"/>
      <w:bCs/>
      <w:color w:val="000000"/>
      <w:kern w:val="0"/>
      <w:szCs w:val="21"/>
    </w:rPr>
  </w:style>
  <w:style w:type="paragraph" w:customStyle="1" w:styleId="10">
    <w:name w:val="1正文"/>
    <w:basedOn w:val="1"/>
    <w:next w:val="1"/>
    <w:qFormat/>
    <w:uiPriority w:val="0"/>
    <w:pPr>
      <w:widowControl/>
      <w:autoSpaceDE w:val="0"/>
      <w:autoSpaceDN w:val="0"/>
      <w:adjustRightInd w:val="0"/>
      <w:spacing w:after="200"/>
      <w:ind w:firstLine="200" w:firstLineChars="200"/>
      <w:jc w:val="left"/>
    </w:pPr>
    <w:rPr>
      <w:rFonts w:ascii="宋体" w:hAnsi="MS Sans Serif"/>
      <w:kern w:val="0"/>
      <w:szCs w:val="21"/>
      <w:lang w:val="zh-CN" w:bidi="en-US"/>
    </w:rPr>
  </w:style>
  <w:style w:type="paragraph" w:customStyle="1" w:styleId="11">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2024-11-26T02:02:01Z</dcterms:created>
  <dc:creator>Administrator</dc:creator>
  <cp:lastModifiedBy>李娜</cp:lastModifiedBy>
  <dcterms:modified xsi:type="dcterms:W3CDTF">2024-11-26T02:02:06Z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31AB1C83E17A4076879A70DCB3112BB8_12</vt:lpwstr>
  </property>
</Properties>
</file>