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74631">
      <w:pPr>
        <w:wordWrap w:val="0"/>
        <w:outlineLvl w:val="3"/>
        <w:rPr>
          <w:b/>
          <w:sz w:val="28"/>
          <w:szCs w:val="28"/>
        </w:rPr>
      </w:pPr>
      <w:bookmarkStart w:id="6" w:name="_GoBack"/>
      <w:bookmarkEnd w:id="6"/>
      <w:bookmarkStart w:id="0" w:name="_Hlk204800091"/>
      <w:r>
        <w:rPr>
          <w:b/>
          <w:sz w:val="28"/>
          <w:szCs w:val="28"/>
        </w:rPr>
        <w:t>附件1：</w:t>
      </w:r>
      <w:bookmarkStart w:id="1" w:name="_Toc404712451"/>
      <w:r>
        <w:rPr>
          <w:b/>
          <w:sz w:val="28"/>
          <w:szCs w:val="28"/>
        </w:rPr>
        <w:t>资格审查条件</w:t>
      </w:r>
      <w:bookmarkEnd w:id="1"/>
    </w:p>
    <w:p w14:paraId="2D6C6F50">
      <w:pPr>
        <w:wordWrap w:val="0"/>
        <w:jc w:val="center"/>
      </w:pPr>
      <w:bookmarkStart w:id="2" w:name="_Hlk205910886"/>
      <w:r>
        <w:rPr>
          <w:b/>
          <w:sz w:val="24"/>
        </w:rPr>
        <w:t>附录1  资格审查条件（资质最低要求）</w:t>
      </w:r>
    </w:p>
    <w:tbl>
      <w:tblPr>
        <w:tblStyle w:val="1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28" w:type="dxa"/>
          <w:left w:w="28" w:type="dxa"/>
          <w:bottom w:w="28" w:type="dxa"/>
          <w:right w:w="28" w:type="dxa"/>
        </w:tblCellMar>
      </w:tblPr>
      <w:tblGrid>
        <w:gridCol w:w="8362"/>
      </w:tblGrid>
      <w:tr w14:paraId="29ED2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542" w:hRule="atLeast"/>
          <w:tblHeader/>
          <w:jc w:val="center"/>
        </w:trPr>
        <w:tc>
          <w:tcPr>
            <w:tcW w:w="5000" w:type="pct"/>
            <w:vAlign w:val="center"/>
          </w:tcPr>
          <w:p w14:paraId="33F71BAB">
            <w:pPr>
              <w:wordWrap w:val="0"/>
              <w:adjustRightInd w:val="0"/>
              <w:snapToGrid w:val="0"/>
              <w:jc w:val="center"/>
              <w:rPr>
                <w:b/>
                <w:bCs/>
                <w:szCs w:val="21"/>
              </w:rPr>
            </w:pPr>
            <w:r>
              <w:rPr>
                <w:b/>
                <w:bCs/>
                <w:szCs w:val="21"/>
              </w:rPr>
              <w:t>资质要求</w:t>
            </w:r>
          </w:p>
        </w:tc>
      </w:tr>
      <w:tr w14:paraId="5D7EF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553" w:hRule="atLeast"/>
          <w:jc w:val="center"/>
        </w:trPr>
        <w:tc>
          <w:tcPr>
            <w:tcW w:w="5000" w:type="pct"/>
            <w:vAlign w:val="center"/>
          </w:tcPr>
          <w:p w14:paraId="0AEA6706">
            <w:pPr>
              <w:wordWrap w:val="0"/>
              <w:adjustRightInd w:val="0"/>
              <w:snapToGrid w:val="0"/>
            </w:pPr>
            <w:r>
              <w:rPr>
                <w:rFonts w:hint="eastAsia"/>
              </w:rPr>
              <w:t>投标人须为具备独立企业法人资格的制造商，具有有效的营业执照</w:t>
            </w:r>
            <w:r>
              <w:t>。</w:t>
            </w:r>
          </w:p>
        </w:tc>
      </w:tr>
      <w:bookmarkEnd w:id="2"/>
    </w:tbl>
    <w:p w14:paraId="6BF99D2D">
      <w:pPr>
        <w:wordWrap w:val="0"/>
        <w:jc w:val="center"/>
        <w:rPr>
          <w:b/>
          <w:sz w:val="24"/>
        </w:rPr>
      </w:pPr>
    </w:p>
    <w:p w14:paraId="620FBBA2">
      <w:pPr>
        <w:wordWrap w:val="0"/>
        <w:jc w:val="center"/>
        <w:rPr>
          <w:b/>
          <w:sz w:val="24"/>
        </w:rPr>
      </w:pPr>
    </w:p>
    <w:p w14:paraId="109E3276">
      <w:pPr>
        <w:wordWrap w:val="0"/>
        <w:jc w:val="center"/>
        <w:rPr>
          <w:b/>
          <w:sz w:val="24"/>
        </w:rPr>
      </w:pPr>
      <w:r>
        <w:rPr>
          <w:b/>
          <w:sz w:val="24"/>
        </w:rPr>
        <w:t>附录</w:t>
      </w:r>
      <w:r>
        <w:rPr>
          <w:rFonts w:hint="eastAsia"/>
          <w:b/>
          <w:sz w:val="24"/>
        </w:rPr>
        <w:t>2</w:t>
      </w:r>
      <w:r>
        <w:rPr>
          <w:b/>
          <w:sz w:val="24"/>
        </w:rPr>
        <w:t xml:space="preserve">  资格审查条件（业绩最低要求）</w:t>
      </w:r>
    </w:p>
    <w:tbl>
      <w:tblPr>
        <w:tblStyle w:val="15"/>
        <w:tblW w:w="5090"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5"/>
        <w:gridCol w:w="7751"/>
      </w:tblGrid>
      <w:tr w14:paraId="5ABA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trPr>
        <w:tc>
          <w:tcPr>
            <w:tcW w:w="422" w:type="pct"/>
            <w:vAlign w:val="center"/>
          </w:tcPr>
          <w:p w14:paraId="20028EF8">
            <w:pPr>
              <w:wordWrap w:val="0"/>
              <w:adjustRightInd w:val="0"/>
              <w:snapToGrid w:val="0"/>
              <w:jc w:val="center"/>
              <w:rPr>
                <w:b/>
                <w:szCs w:val="21"/>
                <w:shd w:val="clear" w:color="auto" w:fill="FFFFFF"/>
              </w:rPr>
            </w:pPr>
            <w:r>
              <w:rPr>
                <w:b/>
                <w:szCs w:val="21"/>
                <w:shd w:val="clear" w:color="auto" w:fill="FFFFFF"/>
              </w:rPr>
              <w:t>标段</w:t>
            </w:r>
          </w:p>
        </w:tc>
        <w:tc>
          <w:tcPr>
            <w:tcW w:w="4578" w:type="pct"/>
            <w:vAlign w:val="center"/>
          </w:tcPr>
          <w:p w14:paraId="1D33791E">
            <w:pPr>
              <w:wordWrap w:val="0"/>
              <w:adjustRightInd w:val="0"/>
              <w:snapToGrid w:val="0"/>
              <w:jc w:val="center"/>
              <w:rPr>
                <w:b/>
                <w:szCs w:val="21"/>
                <w:shd w:val="clear" w:color="auto" w:fill="FFFFFF"/>
              </w:rPr>
            </w:pPr>
            <w:r>
              <w:rPr>
                <w:b/>
                <w:szCs w:val="21"/>
                <w:shd w:val="clear" w:color="auto" w:fill="FFFFFF"/>
              </w:rPr>
              <w:t>业绩要求</w:t>
            </w:r>
          </w:p>
        </w:tc>
      </w:tr>
      <w:tr w14:paraId="0093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trPr>
        <w:tc>
          <w:tcPr>
            <w:tcW w:w="422" w:type="pct"/>
            <w:vAlign w:val="center"/>
          </w:tcPr>
          <w:p w14:paraId="33D5B06B">
            <w:pPr>
              <w:pStyle w:val="40"/>
              <w:spacing w:before="141"/>
              <w:ind w:right="1"/>
              <w:jc w:val="center"/>
              <w:rPr>
                <w:rFonts w:ascii="Times New Roman" w:hAnsi="Times New Roman" w:cs="Times New Roman"/>
                <w:szCs w:val="21"/>
                <w:shd w:val="clear" w:color="auto" w:fill="FFFFFF"/>
                <w:lang w:eastAsia="zh-CN"/>
              </w:rPr>
            </w:pPr>
            <w:r>
              <w:rPr>
                <w:rFonts w:ascii="Times New Roman" w:hAnsi="Times New Roman" w:cs="Times New Roman"/>
                <w:szCs w:val="21"/>
                <w:shd w:val="clear" w:color="auto" w:fill="FFFFFF"/>
                <w:lang w:eastAsia="zh-CN"/>
              </w:rPr>
              <w:t>一</w:t>
            </w:r>
          </w:p>
        </w:tc>
        <w:tc>
          <w:tcPr>
            <w:tcW w:w="4578" w:type="pct"/>
            <w:vAlign w:val="center"/>
          </w:tcPr>
          <w:p w14:paraId="27DDBC75">
            <w:pPr>
              <w:pStyle w:val="40"/>
              <w:spacing w:before="141"/>
              <w:ind w:right="1"/>
              <w:rPr>
                <w:rFonts w:ascii="Times New Roman" w:hAnsi="Times New Roman" w:cs="Times New Roman"/>
                <w:szCs w:val="21"/>
                <w:shd w:val="clear" w:color="auto" w:fill="FFFFFF"/>
                <w:lang w:eastAsia="zh-CN"/>
              </w:rPr>
            </w:pPr>
            <w:r>
              <w:rPr>
                <w:rFonts w:ascii="Times New Roman" w:hAnsi="Times New Roman" w:cs="Times New Roman"/>
                <w:sz w:val="21"/>
                <w:szCs w:val="22"/>
                <w:lang w:eastAsia="zh-CN"/>
              </w:rPr>
              <w:t>近3年内（2022年</w:t>
            </w:r>
            <w:r>
              <w:rPr>
                <w:rFonts w:hint="eastAsia" w:ascii="Times New Roman" w:hAnsi="Times New Roman" w:cs="Times New Roman"/>
                <w:sz w:val="21"/>
                <w:szCs w:val="22"/>
                <w:lang w:eastAsia="zh-CN"/>
              </w:rPr>
              <w:t>9月1日</w:t>
            </w:r>
            <w:r>
              <w:rPr>
                <w:rFonts w:ascii="Times New Roman" w:hAnsi="Times New Roman" w:cs="Times New Roman"/>
                <w:sz w:val="21"/>
                <w:szCs w:val="22"/>
                <w:lang w:eastAsia="zh-CN"/>
              </w:rPr>
              <w:t>至投标截止时间，以合同签订时间为准），至少承揽过1项合同额不低于</w:t>
            </w:r>
            <w:r>
              <w:rPr>
                <w:rFonts w:hint="eastAsia" w:ascii="Times New Roman" w:hAnsi="Times New Roman" w:cs="Times New Roman"/>
                <w:sz w:val="21"/>
                <w:szCs w:val="22"/>
                <w:lang w:eastAsia="zh-CN"/>
              </w:rPr>
              <w:t>150</w:t>
            </w:r>
            <w:r>
              <w:rPr>
                <w:rFonts w:ascii="Times New Roman" w:hAnsi="Times New Roman" w:cs="Times New Roman"/>
                <w:sz w:val="21"/>
                <w:szCs w:val="22"/>
                <w:lang w:eastAsia="zh-CN"/>
              </w:rPr>
              <w:t>万元的</w:t>
            </w:r>
            <w:r>
              <w:rPr>
                <w:rFonts w:hint="eastAsia" w:ascii="Times New Roman" w:hAnsi="Times New Roman" w:cs="Times New Roman"/>
                <w:sz w:val="21"/>
                <w:szCs w:val="22"/>
                <w:lang w:eastAsia="zh-CN"/>
              </w:rPr>
              <w:t>高速公路可变信息标志</w:t>
            </w:r>
            <w:r>
              <w:rPr>
                <w:rFonts w:ascii="Times New Roman" w:hAnsi="Times New Roman" w:cs="Times New Roman"/>
                <w:sz w:val="21"/>
                <w:szCs w:val="22"/>
                <w:lang w:eastAsia="zh-CN"/>
              </w:rPr>
              <w:t>供货业绩。</w:t>
            </w:r>
          </w:p>
        </w:tc>
      </w:tr>
      <w:tr w14:paraId="7D5A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trPr>
        <w:tc>
          <w:tcPr>
            <w:tcW w:w="422" w:type="pct"/>
            <w:vAlign w:val="center"/>
          </w:tcPr>
          <w:p w14:paraId="3BA8823F">
            <w:pPr>
              <w:pStyle w:val="40"/>
              <w:spacing w:before="141"/>
              <w:ind w:right="1"/>
              <w:jc w:val="center"/>
              <w:rPr>
                <w:rFonts w:ascii="Times New Roman" w:hAnsi="Times New Roman" w:cs="Times New Roman"/>
                <w:szCs w:val="21"/>
                <w:shd w:val="clear" w:color="auto" w:fill="FFFFFF"/>
                <w:lang w:eastAsia="zh-CN"/>
              </w:rPr>
            </w:pPr>
            <w:r>
              <w:rPr>
                <w:rFonts w:ascii="Times New Roman" w:hAnsi="Times New Roman" w:cs="Times New Roman"/>
                <w:szCs w:val="21"/>
                <w:shd w:val="clear" w:color="auto" w:fill="FFFFFF"/>
                <w:lang w:eastAsia="zh-CN"/>
              </w:rPr>
              <w:t>二</w:t>
            </w:r>
          </w:p>
        </w:tc>
        <w:tc>
          <w:tcPr>
            <w:tcW w:w="4578" w:type="pct"/>
            <w:vAlign w:val="center"/>
          </w:tcPr>
          <w:p w14:paraId="4A997CEF">
            <w:pPr>
              <w:pStyle w:val="40"/>
              <w:spacing w:before="141"/>
              <w:ind w:right="1"/>
              <w:rPr>
                <w:rFonts w:ascii="Times New Roman" w:hAnsi="Times New Roman" w:cs="Times New Roman"/>
                <w:sz w:val="21"/>
                <w:szCs w:val="22"/>
                <w:lang w:eastAsia="zh-CN"/>
              </w:rPr>
            </w:pPr>
            <w:r>
              <w:rPr>
                <w:rFonts w:ascii="Times New Roman" w:hAnsi="Times New Roman" w:cs="Times New Roman"/>
                <w:sz w:val="21"/>
                <w:szCs w:val="22"/>
                <w:lang w:eastAsia="zh-CN"/>
              </w:rPr>
              <w:t>近3年内（2022年</w:t>
            </w:r>
            <w:r>
              <w:rPr>
                <w:rFonts w:hint="eastAsia" w:ascii="Times New Roman" w:hAnsi="Times New Roman" w:cs="Times New Roman"/>
                <w:sz w:val="21"/>
                <w:szCs w:val="22"/>
                <w:lang w:eastAsia="zh-CN"/>
              </w:rPr>
              <w:t>9月1日</w:t>
            </w:r>
            <w:r>
              <w:rPr>
                <w:rFonts w:ascii="Times New Roman" w:hAnsi="Times New Roman" w:cs="Times New Roman"/>
                <w:sz w:val="21"/>
                <w:szCs w:val="22"/>
                <w:lang w:eastAsia="zh-CN"/>
              </w:rPr>
              <w:t>至投标截止时间，以合同签订时间为准），至少承揽过1项合同额不低于</w:t>
            </w:r>
            <w:r>
              <w:rPr>
                <w:rFonts w:hint="eastAsia" w:ascii="Times New Roman" w:hAnsi="Times New Roman" w:cs="Times New Roman"/>
                <w:sz w:val="21"/>
                <w:szCs w:val="22"/>
                <w:lang w:eastAsia="zh-CN"/>
              </w:rPr>
              <w:t>100</w:t>
            </w:r>
            <w:r>
              <w:rPr>
                <w:rFonts w:ascii="Times New Roman" w:hAnsi="Times New Roman" w:cs="Times New Roman"/>
                <w:sz w:val="21"/>
                <w:szCs w:val="22"/>
                <w:lang w:eastAsia="zh-CN"/>
              </w:rPr>
              <w:t>万元的高速公路</w:t>
            </w:r>
            <w:r>
              <w:rPr>
                <w:rFonts w:hint="eastAsia" w:ascii="Times New Roman" w:hAnsi="Times New Roman" w:cs="Times New Roman"/>
                <w:sz w:val="21"/>
                <w:szCs w:val="22"/>
                <w:lang w:eastAsia="zh-CN"/>
              </w:rPr>
              <w:t>智慧云舱</w:t>
            </w:r>
            <w:r>
              <w:rPr>
                <w:rFonts w:ascii="Times New Roman" w:hAnsi="Times New Roman" w:cs="Times New Roman"/>
                <w:sz w:val="21"/>
                <w:szCs w:val="22"/>
                <w:lang w:eastAsia="zh-CN"/>
              </w:rPr>
              <w:t>供货业绩。</w:t>
            </w:r>
          </w:p>
        </w:tc>
      </w:tr>
      <w:tr w14:paraId="779A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trPr>
        <w:tc>
          <w:tcPr>
            <w:tcW w:w="422" w:type="pct"/>
            <w:vAlign w:val="center"/>
          </w:tcPr>
          <w:p w14:paraId="1D3DDC80">
            <w:pPr>
              <w:pStyle w:val="40"/>
              <w:spacing w:before="141"/>
              <w:ind w:right="1"/>
              <w:jc w:val="center"/>
              <w:rPr>
                <w:rFonts w:ascii="Times New Roman" w:hAnsi="Times New Roman" w:cs="Times New Roman"/>
                <w:szCs w:val="21"/>
                <w:shd w:val="clear" w:color="auto" w:fill="FFFFFF"/>
                <w:lang w:eastAsia="zh-CN"/>
              </w:rPr>
            </w:pPr>
            <w:r>
              <w:rPr>
                <w:rFonts w:ascii="Times New Roman" w:hAnsi="Times New Roman" w:cs="Times New Roman"/>
                <w:szCs w:val="21"/>
                <w:shd w:val="clear" w:color="auto" w:fill="FFFFFF"/>
                <w:lang w:eastAsia="zh-CN"/>
              </w:rPr>
              <w:t>三</w:t>
            </w:r>
          </w:p>
        </w:tc>
        <w:tc>
          <w:tcPr>
            <w:tcW w:w="4578" w:type="pct"/>
            <w:vAlign w:val="center"/>
          </w:tcPr>
          <w:p w14:paraId="6940D790">
            <w:pPr>
              <w:pStyle w:val="40"/>
              <w:spacing w:before="141"/>
              <w:ind w:right="1"/>
              <w:rPr>
                <w:rFonts w:ascii="Times New Roman" w:hAnsi="Times New Roman" w:cs="Times New Roman"/>
                <w:sz w:val="21"/>
                <w:szCs w:val="22"/>
                <w:lang w:eastAsia="zh-CN"/>
              </w:rPr>
            </w:pPr>
            <w:r>
              <w:rPr>
                <w:rFonts w:ascii="Times New Roman" w:hAnsi="Times New Roman" w:cs="Times New Roman"/>
                <w:sz w:val="21"/>
                <w:szCs w:val="22"/>
                <w:lang w:eastAsia="zh-CN"/>
              </w:rPr>
              <w:t>近3年内（2022年</w:t>
            </w:r>
            <w:r>
              <w:rPr>
                <w:rFonts w:hint="eastAsia" w:ascii="Times New Roman" w:hAnsi="Times New Roman" w:cs="Times New Roman"/>
                <w:sz w:val="21"/>
                <w:szCs w:val="22"/>
                <w:lang w:eastAsia="zh-CN"/>
              </w:rPr>
              <w:t>9月1日</w:t>
            </w:r>
            <w:r>
              <w:rPr>
                <w:rFonts w:ascii="Times New Roman" w:hAnsi="Times New Roman" w:cs="Times New Roman"/>
                <w:sz w:val="21"/>
                <w:szCs w:val="22"/>
                <w:lang w:eastAsia="zh-CN"/>
              </w:rPr>
              <w:t>至投标截止时间，以合同签订时间为准），至少承揽过1项合同额不低于</w:t>
            </w:r>
            <w:r>
              <w:rPr>
                <w:rFonts w:hint="eastAsia" w:ascii="Times New Roman" w:hAnsi="Times New Roman" w:cs="Times New Roman"/>
                <w:sz w:val="21"/>
                <w:szCs w:val="22"/>
                <w:lang w:eastAsia="zh-CN"/>
              </w:rPr>
              <w:t>100</w:t>
            </w:r>
            <w:r>
              <w:rPr>
                <w:rFonts w:ascii="Times New Roman" w:hAnsi="Times New Roman" w:cs="Times New Roman"/>
                <w:sz w:val="21"/>
                <w:szCs w:val="22"/>
                <w:lang w:eastAsia="zh-CN"/>
              </w:rPr>
              <w:t>万元的</w:t>
            </w:r>
            <w:r>
              <w:rPr>
                <w:rFonts w:hint="eastAsia" w:ascii="Times New Roman" w:hAnsi="Times New Roman" w:cs="Times New Roman"/>
                <w:sz w:val="21"/>
                <w:szCs w:val="22"/>
                <w:lang w:eastAsia="zh-CN"/>
              </w:rPr>
              <w:t>高速公路UPS电源</w:t>
            </w:r>
            <w:r>
              <w:rPr>
                <w:rFonts w:ascii="Times New Roman" w:hAnsi="Times New Roman" w:cs="Times New Roman"/>
                <w:sz w:val="21"/>
                <w:szCs w:val="22"/>
                <w:lang w:eastAsia="zh-CN"/>
              </w:rPr>
              <w:t>供货业绩。</w:t>
            </w:r>
          </w:p>
        </w:tc>
      </w:tr>
    </w:tbl>
    <w:p w14:paraId="0482CA2C">
      <w:pPr>
        <w:wordWrap w:val="0"/>
        <w:jc w:val="center"/>
        <w:rPr>
          <w:b/>
          <w:sz w:val="24"/>
        </w:rPr>
      </w:pPr>
    </w:p>
    <w:p w14:paraId="2892AB84">
      <w:pPr>
        <w:wordWrap w:val="0"/>
        <w:jc w:val="center"/>
        <w:rPr>
          <w:rFonts w:hint="eastAsia"/>
          <w:b/>
          <w:sz w:val="24"/>
        </w:rPr>
      </w:pPr>
    </w:p>
    <w:p w14:paraId="1DCA9CE7">
      <w:pPr>
        <w:wordWrap w:val="0"/>
        <w:jc w:val="center"/>
        <w:rPr>
          <w:b/>
          <w:sz w:val="24"/>
        </w:rPr>
      </w:pPr>
      <w:r>
        <w:rPr>
          <w:b/>
          <w:sz w:val="24"/>
        </w:rPr>
        <w:t>附录</w:t>
      </w:r>
      <w:r>
        <w:rPr>
          <w:rFonts w:hint="eastAsia"/>
          <w:b/>
          <w:sz w:val="24"/>
        </w:rPr>
        <w:t>3</w:t>
      </w:r>
      <w:r>
        <w:rPr>
          <w:b/>
          <w:sz w:val="24"/>
        </w:rPr>
        <w:t xml:space="preserve">  资格审查条件（财务最低要求）</w:t>
      </w:r>
    </w:p>
    <w:tbl>
      <w:tblPr>
        <w:tblStyle w:val="15"/>
        <w:tblW w:w="5041"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84"/>
      </w:tblGrid>
      <w:tr w14:paraId="6310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trPr>
        <w:tc>
          <w:tcPr>
            <w:tcW w:w="5000" w:type="pct"/>
            <w:vAlign w:val="center"/>
          </w:tcPr>
          <w:p w14:paraId="00F21B5F">
            <w:pPr>
              <w:wordWrap w:val="0"/>
              <w:adjustRightInd w:val="0"/>
              <w:snapToGrid w:val="0"/>
              <w:jc w:val="center"/>
              <w:rPr>
                <w:b/>
                <w:szCs w:val="21"/>
                <w:shd w:val="clear" w:color="auto" w:fill="FFFFFF"/>
              </w:rPr>
            </w:pPr>
            <w:r>
              <w:rPr>
                <w:b/>
                <w:szCs w:val="21"/>
                <w:shd w:val="clear" w:color="auto" w:fill="FFFFFF"/>
              </w:rPr>
              <w:t>财务要求</w:t>
            </w:r>
          </w:p>
        </w:tc>
      </w:tr>
      <w:tr w14:paraId="265A7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trPr>
        <w:tc>
          <w:tcPr>
            <w:tcW w:w="5000" w:type="pct"/>
            <w:vAlign w:val="center"/>
          </w:tcPr>
          <w:p w14:paraId="11488672">
            <w:pPr>
              <w:wordWrap w:val="0"/>
              <w:adjustRightInd w:val="0"/>
              <w:snapToGrid w:val="0"/>
              <w:spacing w:line="288" w:lineRule="auto"/>
              <w:rPr>
                <w:szCs w:val="21"/>
                <w:shd w:val="clear" w:color="auto" w:fill="FFFFFF"/>
              </w:rPr>
            </w:pPr>
            <w:r>
              <w:rPr>
                <w:szCs w:val="21"/>
              </w:rPr>
              <w:t>为本合同所提供的营运资金（以经会计事务所或审计机构审计的2024年度财务报表中：营运资金=流动资产-流动负债，以年末数计算）以及为本项目而专门开具的银行信贷证明总和不得低于：一标段</w:t>
            </w:r>
            <w:r>
              <w:rPr>
                <w:szCs w:val="21"/>
                <w:u w:val="single"/>
              </w:rPr>
              <w:t xml:space="preserve"> </w:t>
            </w:r>
            <w:r>
              <w:rPr>
                <w:rFonts w:hint="eastAsia"/>
                <w:szCs w:val="21"/>
                <w:u w:val="single"/>
              </w:rPr>
              <w:t>15</w:t>
            </w:r>
            <w:r>
              <w:rPr>
                <w:szCs w:val="21"/>
                <w:u w:val="single"/>
              </w:rPr>
              <w:t xml:space="preserve">0 </w:t>
            </w:r>
            <w:r>
              <w:rPr>
                <w:szCs w:val="21"/>
              </w:rPr>
              <w:t>万元、二标段</w:t>
            </w:r>
            <w:r>
              <w:rPr>
                <w:szCs w:val="21"/>
                <w:u w:val="single"/>
              </w:rPr>
              <w:t xml:space="preserve"> </w:t>
            </w:r>
            <w:r>
              <w:rPr>
                <w:rFonts w:hint="eastAsia"/>
                <w:szCs w:val="21"/>
                <w:u w:val="single"/>
              </w:rPr>
              <w:t>1</w:t>
            </w:r>
            <w:r>
              <w:rPr>
                <w:szCs w:val="21"/>
                <w:u w:val="single"/>
              </w:rPr>
              <w:t xml:space="preserve">00 </w:t>
            </w:r>
            <w:r>
              <w:rPr>
                <w:szCs w:val="21"/>
              </w:rPr>
              <w:t>万元、三标段</w:t>
            </w:r>
            <w:r>
              <w:rPr>
                <w:szCs w:val="21"/>
                <w:u w:val="single"/>
              </w:rPr>
              <w:t xml:space="preserve"> </w:t>
            </w:r>
            <w:r>
              <w:rPr>
                <w:rFonts w:hint="eastAsia"/>
                <w:szCs w:val="21"/>
                <w:u w:val="single"/>
              </w:rPr>
              <w:t>10</w:t>
            </w:r>
            <w:r>
              <w:rPr>
                <w:szCs w:val="21"/>
                <w:u w:val="single"/>
              </w:rPr>
              <w:t xml:space="preserve">0 </w:t>
            </w:r>
            <w:r>
              <w:rPr>
                <w:szCs w:val="21"/>
              </w:rPr>
              <w:t>万元。</w:t>
            </w:r>
          </w:p>
        </w:tc>
      </w:tr>
    </w:tbl>
    <w:p w14:paraId="770020F7">
      <w:pPr>
        <w:wordWrap w:val="0"/>
        <w:jc w:val="center"/>
        <w:rPr>
          <w:b/>
          <w:sz w:val="24"/>
        </w:rPr>
      </w:pPr>
    </w:p>
    <w:p w14:paraId="5AFD8B5B">
      <w:pPr>
        <w:wordWrap w:val="0"/>
        <w:jc w:val="center"/>
        <w:rPr>
          <w:b/>
          <w:sz w:val="24"/>
        </w:rPr>
      </w:pPr>
    </w:p>
    <w:p w14:paraId="4BD803FD">
      <w:pPr>
        <w:wordWrap w:val="0"/>
        <w:jc w:val="center"/>
      </w:pPr>
      <w:r>
        <w:rPr>
          <w:b/>
          <w:sz w:val="24"/>
        </w:rPr>
        <w:t>附录</w:t>
      </w:r>
      <w:r>
        <w:rPr>
          <w:rFonts w:hint="eastAsia"/>
          <w:b/>
          <w:sz w:val="24"/>
        </w:rPr>
        <w:t>4</w:t>
      </w:r>
      <w:r>
        <w:rPr>
          <w:b/>
          <w:sz w:val="24"/>
        </w:rPr>
        <w:t xml:space="preserve">  资格审查条件（信誉最低要求）</w:t>
      </w:r>
    </w:p>
    <w:tbl>
      <w:tblPr>
        <w:tblStyle w:val="15"/>
        <w:tblW w:w="4932"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406"/>
      </w:tblGrid>
      <w:tr w14:paraId="4BB0CE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4" w:hRule="atLeast"/>
          <w:jc w:val="center"/>
        </w:trPr>
        <w:tc>
          <w:tcPr>
            <w:tcW w:w="5000" w:type="pct"/>
            <w:vAlign w:val="center"/>
          </w:tcPr>
          <w:p w14:paraId="391DEA43">
            <w:pPr>
              <w:wordWrap w:val="0"/>
              <w:adjustRightInd w:val="0"/>
              <w:snapToGrid w:val="0"/>
              <w:jc w:val="center"/>
              <w:rPr>
                <w:b/>
                <w:szCs w:val="21"/>
              </w:rPr>
            </w:pPr>
            <w:r>
              <w:rPr>
                <w:b/>
                <w:szCs w:val="21"/>
              </w:rPr>
              <w:t>信誉要求</w:t>
            </w:r>
          </w:p>
        </w:tc>
      </w:tr>
      <w:tr w14:paraId="3D9D5B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71" w:hRule="atLeast"/>
          <w:jc w:val="center"/>
        </w:trPr>
        <w:tc>
          <w:tcPr>
            <w:tcW w:w="5000" w:type="pct"/>
            <w:vAlign w:val="center"/>
          </w:tcPr>
          <w:p w14:paraId="58F4ACFD">
            <w:pPr>
              <w:wordWrap w:val="0"/>
            </w:pPr>
            <w:r>
              <w:t>投标人在近一年（2024年</w:t>
            </w:r>
            <w:r>
              <w:rPr>
                <w:rFonts w:hint="eastAsia"/>
              </w:rPr>
              <w:t>9月1日</w:t>
            </w:r>
            <w:r>
              <w:t>至投标截止时间）不曾在高速公路机电项目设备供货中违约被逐或因投标人自身的原因而使高速公路机电项目设备供货合同被解除。</w:t>
            </w:r>
          </w:p>
        </w:tc>
      </w:tr>
      <w:bookmarkEnd w:id="0"/>
    </w:tbl>
    <w:p w14:paraId="58C54AD4">
      <w:pPr>
        <w:wordWrap w:val="0"/>
        <w:jc w:val="center"/>
        <w:rPr>
          <w:b/>
          <w:sz w:val="24"/>
        </w:rPr>
      </w:pPr>
    </w:p>
    <w:p w14:paraId="23D49264">
      <w:pPr>
        <w:wordWrap w:val="0"/>
        <w:autoSpaceDE w:val="0"/>
        <w:autoSpaceDN w:val="0"/>
        <w:adjustRightInd w:val="0"/>
        <w:ind w:right="-20"/>
        <w:jc w:val="left"/>
        <w:outlineLvl w:val="3"/>
        <w:rPr>
          <w:b/>
          <w:sz w:val="28"/>
          <w:szCs w:val="28"/>
        </w:rPr>
      </w:pPr>
      <w:r>
        <w:rPr>
          <w:b/>
          <w:sz w:val="28"/>
          <w:szCs w:val="28"/>
        </w:rPr>
        <w:br w:type="page"/>
      </w:r>
      <w:r>
        <w:rPr>
          <w:b/>
          <w:sz w:val="28"/>
          <w:szCs w:val="28"/>
        </w:rPr>
        <w:t>附件2：评标办法</w:t>
      </w:r>
    </w:p>
    <w:p w14:paraId="2D00C4F8">
      <w:pPr>
        <w:snapToGrid w:val="0"/>
        <w:spacing w:line="360" w:lineRule="auto"/>
        <w:ind w:firstLine="480"/>
        <w:jc w:val="center"/>
        <w:textAlignment w:val="baseline"/>
        <w:rPr>
          <w:b/>
          <w:sz w:val="28"/>
          <w:szCs w:val="28"/>
        </w:rPr>
      </w:pPr>
    </w:p>
    <w:p w14:paraId="1191323E">
      <w:pPr>
        <w:spacing w:line="360" w:lineRule="auto"/>
        <w:jc w:val="center"/>
        <w:rPr>
          <w:spacing w:val="1"/>
          <w:sz w:val="28"/>
          <w:szCs w:val="28"/>
        </w:rPr>
      </w:pPr>
      <w:r>
        <w:rPr>
          <w:spacing w:val="2"/>
          <w:sz w:val="24"/>
          <w:szCs w:val="24"/>
        </w:rPr>
        <w:t>评标办法前附表</w:t>
      </w:r>
    </w:p>
    <w:tbl>
      <w:tblPr>
        <w:tblStyle w:val="15"/>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43"/>
        <w:gridCol w:w="1317"/>
        <w:gridCol w:w="7197"/>
      </w:tblGrid>
      <w:tr w14:paraId="750B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460" w:type="dxa"/>
            <w:gridSpan w:val="2"/>
            <w:vAlign w:val="center"/>
          </w:tcPr>
          <w:p w14:paraId="0A412754">
            <w:pPr>
              <w:adjustRightInd w:val="0"/>
              <w:snapToGrid w:val="0"/>
              <w:spacing w:line="320" w:lineRule="exact"/>
              <w:jc w:val="center"/>
              <w:rPr>
                <w:b/>
                <w:szCs w:val="21"/>
              </w:rPr>
            </w:pPr>
            <w:r>
              <w:rPr>
                <w:b/>
                <w:szCs w:val="21"/>
              </w:rPr>
              <w:t>条款号</w:t>
            </w:r>
          </w:p>
        </w:tc>
        <w:tc>
          <w:tcPr>
            <w:tcW w:w="7197" w:type="dxa"/>
            <w:vAlign w:val="center"/>
          </w:tcPr>
          <w:p w14:paraId="008E7AD7">
            <w:pPr>
              <w:adjustRightInd w:val="0"/>
              <w:snapToGrid w:val="0"/>
              <w:spacing w:line="320" w:lineRule="exact"/>
              <w:jc w:val="center"/>
              <w:rPr>
                <w:b/>
                <w:szCs w:val="21"/>
              </w:rPr>
            </w:pPr>
            <w:r>
              <w:rPr>
                <w:b/>
                <w:szCs w:val="21"/>
              </w:rPr>
              <w:t>评审因素与标准</w:t>
            </w:r>
          </w:p>
        </w:tc>
      </w:tr>
      <w:tr w14:paraId="55974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77" w:hRule="atLeast"/>
          <w:jc w:val="center"/>
        </w:trPr>
        <w:tc>
          <w:tcPr>
            <w:tcW w:w="1143" w:type="dxa"/>
            <w:vAlign w:val="center"/>
          </w:tcPr>
          <w:p w14:paraId="4B0431C7">
            <w:pPr>
              <w:snapToGrid w:val="0"/>
              <w:spacing w:line="320" w:lineRule="exact"/>
              <w:jc w:val="center"/>
              <w:rPr>
                <w:b/>
                <w:szCs w:val="21"/>
              </w:rPr>
            </w:pPr>
            <w:r>
              <w:rPr>
                <w:b/>
                <w:szCs w:val="21"/>
              </w:rPr>
              <w:t>1</w:t>
            </w:r>
          </w:p>
        </w:tc>
        <w:tc>
          <w:tcPr>
            <w:tcW w:w="1317" w:type="dxa"/>
            <w:vAlign w:val="center"/>
          </w:tcPr>
          <w:p w14:paraId="7AF66FFD">
            <w:pPr>
              <w:snapToGrid w:val="0"/>
              <w:spacing w:line="320" w:lineRule="exact"/>
              <w:jc w:val="center"/>
              <w:rPr>
                <w:b/>
                <w:szCs w:val="21"/>
              </w:rPr>
            </w:pPr>
            <w:r>
              <w:rPr>
                <w:szCs w:val="21"/>
              </w:rPr>
              <w:t>评标办法</w:t>
            </w:r>
          </w:p>
        </w:tc>
        <w:tc>
          <w:tcPr>
            <w:tcW w:w="7197" w:type="dxa"/>
            <w:vAlign w:val="center"/>
          </w:tcPr>
          <w:p w14:paraId="5B332ECD">
            <w:pPr>
              <w:snapToGrid w:val="0"/>
              <w:spacing w:line="320" w:lineRule="exact"/>
              <w:ind w:firstLine="210" w:firstLineChars="100"/>
              <w:rPr>
                <w:szCs w:val="21"/>
              </w:rPr>
            </w:pPr>
            <w:r>
              <w:rPr>
                <w:szCs w:val="21"/>
              </w:rPr>
              <w:t>本次评标采用经评审的最低投标价法。评标委员会按照经评审的投标价由低到高的顺序推荐</w:t>
            </w:r>
            <w:r>
              <w:rPr>
                <w:rFonts w:hint="eastAsia"/>
                <w:szCs w:val="21"/>
              </w:rPr>
              <w:t>1-3名</w:t>
            </w:r>
            <w:r>
              <w:rPr>
                <w:szCs w:val="21"/>
              </w:rPr>
              <w:t>中标候选人。经评审的投标价相等时，投标报价低的优先；投标报价也相等的，满足资格审查条件（业绩最低要求）要求的业绩累计合同金额高的优先。</w:t>
            </w:r>
          </w:p>
        </w:tc>
      </w:tr>
      <w:tr w14:paraId="0AF3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143" w:type="dxa"/>
            <w:vAlign w:val="center"/>
          </w:tcPr>
          <w:p w14:paraId="2847F087">
            <w:pPr>
              <w:adjustRightInd w:val="0"/>
              <w:snapToGrid w:val="0"/>
              <w:spacing w:line="320" w:lineRule="exact"/>
              <w:jc w:val="center"/>
              <w:rPr>
                <w:szCs w:val="21"/>
              </w:rPr>
            </w:pPr>
            <w:r>
              <w:rPr>
                <w:szCs w:val="21"/>
              </w:rPr>
              <w:t>2.1.1</w:t>
            </w:r>
          </w:p>
          <w:p w14:paraId="6AE33E70">
            <w:pPr>
              <w:adjustRightInd w:val="0"/>
              <w:snapToGrid w:val="0"/>
              <w:spacing w:line="320" w:lineRule="exact"/>
              <w:jc w:val="center"/>
              <w:rPr>
                <w:szCs w:val="21"/>
              </w:rPr>
            </w:pPr>
            <w:r>
              <w:rPr>
                <w:szCs w:val="21"/>
              </w:rPr>
              <w:t>2.1.3</w:t>
            </w:r>
          </w:p>
        </w:tc>
        <w:tc>
          <w:tcPr>
            <w:tcW w:w="1317" w:type="dxa"/>
            <w:vAlign w:val="center"/>
          </w:tcPr>
          <w:p w14:paraId="2ADF2EE6">
            <w:pPr>
              <w:adjustRightInd w:val="0"/>
              <w:snapToGrid w:val="0"/>
              <w:spacing w:line="320" w:lineRule="exact"/>
              <w:jc w:val="center"/>
              <w:rPr>
                <w:szCs w:val="21"/>
              </w:rPr>
            </w:pPr>
            <w:r>
              <w:rPr>
                <w:szCs w:val="21"/>
              </w:rPr>
              <w:t>形式评审与响应性评审标准</w:t>
            </w:r>
          </w:p>
        </w:tc>
        <w:tc>
          <w:tcPr>
            <w:tcW w:w="7197" w:type="dxa"/>
            <w:vAlign w:val="center"/>
          </w:tcPr>
          <w:p w14:paraId="4F16E9B9">
            <w:pPr>
              <w:snapToGrid w:val="0"/>
              <w:spacing w:line="320" w:lineRule="exact"/>
              <w:ind w:firstLine="420" w:firstLineChars="200"/>
              <w:rPr>
                <w:szCs w:val="21"/>
              </w:rPr>
            </w:pPr>
            <w:r>
              <w:rPr>
                <w:szCs w:val="21"/>
              </w:rPr>
              <w:t>第一个信封（商务及技术文件）评审标准：</w:t>
            </w:r>
          </w:p>
          <w:p w14:paraId="3D113294">
            <w:pPr>
              <w:snapToGrid w:val="0"/>
              <w:spacing w:line="320" w:lineRule="exact"/>
              <w:ind w:firstLine="420" w:firstLineChars="200"/>
              <w:rPr>
                <w:szCs w:val="21"/>
              </w:rPr>
            </w:pPr>
            <w:r>
              <w:rPr>
                <w:szCs w:val="21"/>
              </w:rPr>
              <w:t>（1）投标文件按照招标文件规定的格式、内容填写，字迹清晰可辨：</w:t>
            </w:r>
          </w:p>
          <w:p w14:paraId="57CE1F79">
            <w:pPr>
              <w:snapToGrid w:val="0"/>
              <w:spacing w:line="320" w:lineRule="exact"/>
              <w:ind w:firstLine="420" w:firstLineChars="200"/>
              <w:rPr>
                <w:szCs w:val="21"/>
              </w:rPr>
            </w:pPr>
            <w:r>
              <w:rPr>
                <w:szCs w:val="21"/>
              </w:rPr>
              <w:t>a.投标函按照招标文件规定填报了招标人名称、项目名称、标段号、补遗书编号（如有）、交货期、质量标准；</w:t>
            </w:r>
          </w:p>
          <w:p w14:paraId="199A3848">
            <w:pPr>
              <w:snapToGrid w:val="0"/>
              <w:spacing w:line="320" w:lineRule="exact"/>
              <w:ind w:firstLine="420" w:firstLineChars="200"/>
              <w:rPr>
                <w:szCs w:val="21"/>
              </w:rPr>
            </w:pPr>
            <w:r>
              <w:rPr>
                <w:szCs w:val="21"/>
              </w:rPr>
              <w:t>b.投标文件组成齐全完整，内容均按规定填写；</w:t>
            </w:r>
          </w:p>
          <w:p w14:paraId="4C6DD508">
            <w:pPr>
              <w:snapToGrid w:val="0"/>
              <w:spacing w:line="320" w:lineRule="exact"/>
              <w:ind w:firstLine="420" w:firstLineChars="200"/>
              <w:rPr>
                <w:szCs w:val="21"/>
              </w:rPr>
            </w:pPr>
            <w:r>
              <w:rPr>
                <w:szCs w:val="21"/>
              </w:rPr>
              <w:t>（2）投标文件上法定代表人或其委托代理人的签字、投标人的单位章盖章齐全，符合招标文件规定。</w:t>
            </w:r>
          </w:p>
          <w:p w14:paraId="2C927A8F">
            <w:pPr>
              <w:snapToGrid w:val="0"/>
              <w:spacing w:line="320" w:lineRule="exact"/>
              <w:ind w:firstLine="420" w:firstLineChars="200"/>
              <w:rPr>
                <w:szCs w:val="21"/>
              </w:rPr>
            </w:pPr>
            <w:r>
              <w:rPr>
                <w:szCs w:val="21"/>
              </w:rPr>
              <w:t>（3）投标人按照招标文件的规定提供了投标保证金，满足投标人须知3.4.1规定。</w:t>
            </w:r>
          </w:p>
          <w:p w14:paraId="0A7493F3">
            <w:pPr>
              <w:snapToGrid w:val="0"/>
              <w:spacing w:line="320" w:lineRule="exact"/>
              <w:ind w:firstLine="420" w:firstLineChars="200"/>
              <w:rPr>
                <w:szCs w:val="21"/>
              </w:rPr>
            </w:pPr>
            <w:r>
              <w:rPr>
                <w:szCs w:val="21"/>
              </w:rPr>
              <w:t>（4）投标人法定代表人授权委托代理人签署投标文件的，须提交授权委托书，授权委托书的签字盖章符合招标文件规定。</w:t>
            </w:r>
          </w:p>
          <w:p w14:paraId="355C7625">
            <w:pPr>
              <w:snapToGrid w:val="0"/>
              <w:spacing w:line="320" w:lineRule="exact"/>
              <w:ind w:firstLine="420" w:firstLineChars="200"/>
              <w:rPr>
                <w:szCs w:val="21"/>
              </w:rPr>
            </w:pPr>
            <w:r>
              <w:rPr>
                <w:szCs w:val="21"/>
              </w:rPr>
              <w:t>（5）投标人法定代表人亲自签署投标文件的，提供了法定代表人身份证明,法定代表人身份证明的签字盖章符合招标文件规定。</w:t>
            </w:r>
          </w:p>
          <w:p w14:paraId="372D2B01">
            <w:pPr>
              <w:snapToGrid w:val="0"/>
              <w:spacing w:line="320" w:lineRule="exact"/>
              <w:ind w:firstLine="420" w:firstLineChars="200"/>
              <w:rPr>
                <w:szCs w:val="21"/>
              </w:rPr>
            </w:pPr>
            <w:r>
              <w:rPr>
                <w:szCs w:val="21"/>
              </w:rPr>
              <w:t>（6）投标人未以联合体形式投标。</w:t>
            </w:r>
          </w:p>
          <w:p w14:paraId="5AD79CBA">
            <w:pPr>
              <w:snapToGrid w:val="0"/>
              <w:spacing w:line="320" w:lineRule="exact"/>
              <w:ind w:firstLine="420" w:firstLineChars="200"/>
              <w:rPr>
                <w:rFonts w:hint="eastAsia"/>
                <w:szCs w:val="21"/>
              </w:rPr>
            </w:pPr>
            <w:r>
              <w:rPr>
                <w:rFonts w:hint="eastAsia"/>
                <w:szCs w:val="21"/>
              </w:rPr>
              <w:t>（7）投标人未对本项目进行分包。</w:t>
            </w:r>
          </w:p>
          <w:p w14:paraId="1CA483D5">
            <w:pPr>
              <w:snapToGrid w:val="0"/>
              <w:spacing w:line="320" w:lineRule="exact"/>
              <w:ind w:firstLine="420" w:firstLineChars="200"/>
              <w:rPr>
                <w:szCs w:val="21"/>
              </w:rPr>
            </w:pPr>
            <w:r>
              <w:rPr>
                <w:szCs w:val="21"/>
              </w:rPr>
              <w:t>（</w:t>
            </w:r>
            <w:r>
              <w:rPr>
                <w:rFonts w:hint="eastAsia"/>
                <w:szCs w:val="21"/>
              </w:rPr>
              <w:t>8</w:t>
            </w:r>
            <w:r>
              <w:rPr>
                <w:szCs w:val="21"/>
              </w:rPr>
              <w:t>）同一投标人同一标段未提交两个以上不同的投标文件。</w:t>
            </w:r>
          </w:p>
          <w:p w14:paraId="6E624A4F">
            <w:pPr>
              <w:snapToGrid w:val="0"/>
              <w:spacing w:line="320" w:lineRule="exact"/>
              <w:ind w:firstLine="420" w:firstLineChars="200"/>
              <w:rPr>
                <w:rFonts w:hint="eastAsia"/>
                <w:szCs w:val="21"/>
              </w:rPr>
            </w:pPr>
            <w:r>
              <w:rPr>
                <w:szCs w:val="21"/>
              </w:rPr>
              <w:t>（</w:t>
            </w:r>
            <w:r>
              <w:rPr>
                <w:rFonts w:hint="eastAsia"/>
                <w:szCs w:val="21"/>
              </w:rPr>
              <w:t>9</w:t>
            </w:r>
            <w:r>
              <w:rPr>
                <w:szCs w:val="21"/>
              </w:rPr>
              <w:t>）投标文件中未出现有关投标报价的内容。</w:t>
            </w:r>
          </w:p>
          <w:p w14:paraId="4BC9A0ED">
            <w:pPr>
              <w:snapToGrid w:val="0"/>
              <w:spacing w:line="320" w:lineRule="exact"/>
              <w:ind w:firstLine="420" w:firstLineChars="200"/>
              <w:rPr>
                <w:szCs w:val="21"/>
              </w:rPr>
            </w:pPr>
            <w:r>
              <w:rPr>
                <w:szCs w:val="21"/>
              </w:rPr>
              <w:t>（</w:t>
            </w:r>
            <w:r>
              <w:rPr>
                <w:rFonts w:hint="eastAsia"/>
                <w:szCs w:val="21"/>
              </w:rPr>
              <w:t>10</w:t>
            </w:r>
            <w:r>
              <w:rPr>
                <w:szCs w:val="21"/>
              </w:rPr>
              <w:t>）投标文件载明的招标项目完成期限未超过招标文件规定的时限。</w:t>
            </w:r>
          </w:p>
          <w:p w14:paraId="112F710D">
            <w:pPr>
              <w:snapToGrid w:val="0"/>
              <w:spacing w:line="320" w:lineRule="exact"/>
              <w:ind w:firstLine="420" w:firstLineChars="200"/>
              <w:rPr>
                <w:szCs w:val="21"/>
              </w:rPr>
            </w:pPr>
            <w:r>
              <w:rPr>
                <w:szCs w:val="21"/>
              </w:rPr>
              <w:t>（1</w:t>
            </w:r>
            <w:r>
              <w:rPr>
                <w:rFonts w:hint="eastAsia"/>
                <w:szCs w:val="21"/>
              </w:rPr>
              <w:t>1</w:t>
            </w:r>
            <w:r>
              <w:rPr>
                <w:szCs w:val="21"/>
              </w:rPr>
              <w:t>）递交的投标文件与所投标段一致。</w:t>
            </w:r>
          </w:p>
          <w:p w14:paraId="6410C81A">
            <w:pPr>
              <w:snapToGrid w:val="0"/>
              <w:spacing w:line="320" w:lineRule="exact"/>
              <w:ind w:firstLine="420" w:firstLineChars="200"/>
              <w:rPr>
                <w:szCs w:val="21"/>
              </w:rPr>
            </w:pPr>
            <w:r>
              <w:rPr>
                <w:szCs w:val="21"/>
              </w:rPr>
              <w:t>（1</w:t>
            </w:r>
            <w:r>
              <w:rPr>
                <w:rFonts w:hint="eastAsia"/>
                <w:szCs w:val="21"/>
              </w:rPr>
              <w:t>2</w:t>
            </w:r>
            <w:r>
              <w:rPr>
                <w:szCs w:val="21"/>
              </w:rPr>
              <w:t>）投标文件对招标文件的实质性要求和条件作出响应。</w:t>
            </w:r>
          </w:p>
          <w:p w14:paraId="72D9791D">
            <w:pPr>
              <w:snapToGrid w:val="0"/>
              <w:spacing w:line="320" w:lineRule="exact"/>
              <w:ind w:firstLine="420" w:firstLineChars="200"/>
              <w:rPr>
                <w:szCs w:val="21"/>
              </w:rPr>
            </w:pPr>
            <w:r>
              <w:rPr>
                <w:szCs w:val="21"/>
              </w:rPr>
              <w:t>（1</w:t>
            </w:r>
            <w:r>
              <w:rPr>
                <w:rFonts w:hint="eastAsia"/>
                <w:szCs w:val="21"/>
              </w:rPr>
              <w:t>3</w:t>
            </w:r>
            <w:r>
              <w:rPr>
                <w:szCs w:val="21"/>
              </w:rPr>
              <w:t>）权利义务符合招标文件规定：</w:t>
            </w:r>
          </w:p>
          <w:p w14:paraId="1C084E6A">
            <w:pPr>
              <w:snapToGrid w:val="0"/>
              <w:spacing w:line="320" w:lineRule="exact"/>
              <w:ind w:firstLine="420" w:firstLineChars="200"/>
              <w:rPr>
                <w:szCs w:val="21"/>
              </w:rPr>
            </w:pPr>
            <w:r>
              <w:rPr>
                <w:szCs w:val="21"/>
              </w:rPr>
              <w:t>a．投标人应接受招标文件规定的风险划分原则，未提出新的风险划分办法；</w:t>
            </w:r>
          </w:p>
          <w:p w14:paraId="05B4FC2C">
            <w:pPr>
              <w:snapToGrid w:val="0"/>
              <w:spacing w:line="320" w:lineRule="exact"/>
              <w:ind w:firstLine="420" w:firstLineChars="200"/>
              <w:rPr>
                <w:szCs w:val="21"/>
              </w:rPr>
            </w:pPr>
            <w:r>
              <w:rPr>
                <w:szCs w:val="21"/>
              </w:rPr>
              <w:t>b．投标人未增加</w:t>
            </w:r>
            <w:r>
              <w:rPr>
                <w:rFonts w:hint="eastAsia"/>
                <w:szCs w:val="21"/>
              </w:rPr>
              <w:t>买方</w:t>
            </w:r>
            <w:r>
              <w:rPr>
                <w:szCs w:val="21"/>
              </w:rPr>
              <w:t>的责任范围，或减少投标人义务；</w:t>
            </w:r>
          </w:p>
          <w:p w14:paraId="0B3AD84A">
            <w:pPr>
              <w:snapToGrid w:val="0"/>
              <w:spacing w:line="320" w:lineRule="exact"/>
              <w:ind w:firstLine="420" w:firstLineChars="200"/>
              <w:rPr>
                <w:szCs w:val="21"/>
              </w:rPr>
            </w:pPr>
            <w:r>
              <w:rPr>
                <w:szCs w:val="21"/>
              </w:rPr>
              <w:t>c．投标人未提出不同的工程验收、计量、支付办法；</w:t>
            </w:r>
          </w:p>
          <w:p w14:paraId="6B883A1D">
            <w:pPr>
              <w:snapToGrid w:val="0"/>
              <w:spacing w:line="320" w:lineRule="exact"/>
              <w:ind w:firstLine="420" w:firstLineChars="200"/>
              <w:rPr>
                <w:szCs w:val="21"/>
              </w:rPr>
            </w:pPr>
            <w:r>
              <w:rPr>
                <w:szCs w:val="21"/>
              </w:rPr>
              <w:t>d．投标人对合同纠纷、事故处理办法未提出异议；</w:t>
            </w:r>
          </w:p>
          <w:p w14:paraId="642A6351">
            <w:pPr>
              <w:snapToGrid w:val="0"/>
              <w:spacing w:line="320" w:lineRule="exact"/>
              <w:ind w:firstLine="420" w:firstLineChars="200"/>
              <w:rPr>
                <w:szCs w:val="21"/>
              </w:rPr>
            </w:pPr>
            <w:r>
              <w:rPr>
                <w:szCs w:val="21"/>
              </w:rPr>
              <w:t>e．投标人在投标活动中无欺诈行为；</w:t>
            </w:r>
          </w:p>
          <w:p w14:paraId="49311323">
            <w:pPr>
              <w:snapToGrid w:val="0"/>
              <w:spacing w:line="320" w:lineRule="exact"/>
              <w:ind w:firstLine="420" w:firstLineChars="200"/>
              <w:rPr>
                <w:szCs w:val="21"/>
              </w:rPr>
            </w:pPr>
            <w:r>
              <w:rPr>
                <w:szCs w:val="21"/>
              </w:rPr>
              <w:t>f．投标人未对合同条款有重要保留</w:t>
            </w:r>
          </w:p>
          <w:p w14:paraId="7AB7F117">
            <w:pPr>
              <w:snapToGrid w:val="0"/>
              <w:spacing w:line="320" w:lineRule="exact"/>
              <w:ind w:firstLine="420" w:firstLineChars="200"/>
              <w:rPr>
                <w:szCs w:val="21"/>
              </w:rPr>
            </w:pPr>
            <w:r>
              <w:rPr>
                <w:szCs w:val="21"/>
              </w:rPr>
              <w:t>（1</w:t>
            </w:r>
            <w:r>
              <w:rPr>
                <w:rFonts w:hint="eastAsia"/>
                <w:szCs w:val="21"/>
              </w:rPr>
              <w:t>4</w:t>
            </w:r>
            <w:r>
              <w:rPr>
                <w:szCs w:val="21"/>
              </w:rPr>
              <w:t>）投标文件中投标设备的主要技术性能指标完全响应招标文件</w:t>
            </w:r>
            <w:r>
              <w:rPr>
                <w:rFonts w:hint="eastAsia"/>
                <w:szCs w:val="21"/>
              </w:rPr>
              <w:t>供货要求</w:t>
            </w:r>
            <w:r>
              <w:rPr>
                <w:szCs w:val="21"/>
              </w:rPr>
              <w:t>中的</w:t>
            </w:r>
            <w:r>
              <w:rPr>
                <w:rFonts w:hint="eastAsia"/>
                <w:szCs w:val="21"/>
              </w:rPr>
              <w:t>条款</w:t>
            </w:r>
            <w:r>
              <w:rPr>
                <w:szCs w:val="21"/>
              </w:rPr>
              <w:t>和要求。</w:t>
            </w:r>
          </w:p>
          <w:p w14:paraId="7DA8F537">
            <w:pPr>
              <w:snapToGrid w:val="0"/>
              <w:spacing w:line="320" w:lineRule="exact"/>
              <w:ind w:firstLine="420" w:firstLineChars="200"/>
              <w:rPr>
                <w:szCs w:val="21"/>
              </w:rPr>
            </w:pPr>
            <w:r>
              <w:rPr>
                <w:szCs w:val="21"/>
              </w:rPr>
              <w:t>（1</w:t>
            </w:r>
            <w:r>
              <w:rPr>
                <w:rFonts w:hint="eastAsia"/>
                <w:szCs w:val="21"/>
              </w:rPr>
              <w:t>5</w:t>
            </w:r>
            <w:r>
              <w:rPr>
                <w:szCs w:val="21"/>
              </w:rPr>
              <w:t>）供货能力及进度保障（暗标）、技术服务及质保期服务（暗标）符合招标文件第二章“投标人须知前附表”第10.3款的规定。</w:t>
            </w:r>
          </w:p>
          <w:p w14:paraId="55D4348B">
            <w:pPr>
              <w:snapToGrid w:val="0"/>
              <w:spacing w:line="320" w:lineRule="exact"/>
              <w:ind w:firstLine="420" w:firstLineChars="200"/>
              <w:rPr>
                <w:szCs w:val="21"/>
              </w:rPr>
            </w:pPr>
            <w:r>
              <w:rPr>
                <w:szCs w:val="21"/>
              </w:rPr>
              <w:t>第二个信封（报价文件）评审标准：</w:t>
            </w:r>
          </w:p>
          <w:p w14:paraId="48F0922F">
            <w:pPr>
              <w:snapToGrid w:val="0"/>
              <w:spacing w:line="320" w:lineRule="exact"/>
              <w:ind w:firstLine="420" w:firstLineChars="200"/>
              <w:rPr>
                <w:szCs w:val="21"/>
              </w:rPr>
            </w:pPr>
            <w:r>
              <w:rPr>
                <w:szCs w:val="21"/>
              </w:rPr>
              <w:t>（1）投标文件按照招标文件规定的格式、内容填写，字迹清晰可辨：</w:t>
            </w:r>
          </w:p>
          <w:p w14:paraId="5024FF2C">
            <w:pPr>
              <w:snapToGrid w:val="0"/>
              <w:spacing w:line="320" w:lineRule="exact"/>
              <w:ind w:firstLine="420" w:firstLineChars="200"/>
              <w:rPr>
                <w:szCs w:val="21"/>
              </w:rPr>
            </w:pPr>
            <w:r>
              <w:rPr>
                <w:szCs w:val="21"/>
              </w:rPr>
              <w:t>a.投标函按照招标文件规定填报了招标人名称、项目名称、标段号、补遗书编号（如有）、投标报价（包括大写金额和小写金额）、增值税税率；</w:t>
            </w:r>
          </w:p>
          <w:p w14:paraId="365E1C9E">
            <w:pPr>
              <w:snapToGrid w:val="0"/>
              <w:spacing w:line="320" w:lineRule="exact"/>
              <w:ind w:firstLine="420" w:firstLineChars="200"/>
              <w:rPr>
                <w:szCs w:val="21"/>
              </w:rPr>
            </w:pPr>
            <w:r>
              <w:rPr>
                <w:szCs w:val="21"/>
              </w:rPr>
              <w:t>b.投标文件组成齐全完整，内容均按规定填写。</w:t>
            </w:r>
          </w:p>
          <w:p w14:paraId="537CA6E0">
            <w:pPr>
              <w:snapToGrid w:val="0"/>
              <w:spacing w:line="320" w:lineRule="exact"/>
              <w:ind w:firstLine="420" w:firstLineChars="200"/>
              <w:rPr>
                <w:szCs w:val="21"/>
              </w:rPr>
            </w:pPr>
            <w:r>
              <w:rPr>
                <w:szCs w:val="21"/>
              </w:rPr>
              <w:t>（2）投标文件上法定代表人或委托代理人的签字、投标人的单位章盖章齐全，符合招标文件规定。</w:t>
            </w:r>
          </w:p>
          <w:p w14:paraId="701AB22B">
            <w:pPr>
              <w:snapToGrid w:val="0"/>
              <w:spacing w:line="320" w:lineRule="exact"/>
              <w:ind w:firstLine="420" w:firstLineChars="200"/>
              <w:rPr>
                <w:szCs w:val="21"/>
              </w:rPr>
            </w:pPr>
            <w:r>
              <w:rPr>
                <w:szCs w:val="21"/>
              </w:rPr>
              <w:t>（3）投标报价</w:t>
            </w:r>
            <w:r>
              <w:rPr>
                <w:rFonts w:hint="eastAsia"/>
                <w:szCs w:val="21"/>
              </w:rPr>
              <w:t>及分项报价均</w:t>
            </w:r>
            <w:r>
              <w:rPr>
                <w:szCs w:val="21"/>
              </w:rPr>
              <w:t>未超过招标文件设定的最高投标限价。</w:t>
            </w:r>
          </w:p>
          <w:p w14:paraId="4B3210CF">
            <w:pPr>
              <w:snapToGrid w:val="0"/>
              <w:spacing w:line="320" w:lineRule="exact"/>
              <w:ind w:firstLine="420" w:firstLineChars="200"/>
              <w:rPr>
                <w:szCs w:val="21"/>
              </w:rPr>
            </w:pPr>
            <w:r>
              <w:rPr>
                <w:szCs w:val="21"/>
              </w:rPr>
              <w:t>（4）投标报价的大写金额能够确定具体数值。</w:t>
            </w:r>
          </w:p>
          <w:p w14:paraId="5ABBB255">
            <w:pPr>
              <w:snapToGrid w:val="0"/>
              <w:spacing w:line="320" w:lineRule="exact"/>
              <w:ind w:firstLine="420" w:firstLineChars="200"/>
              <w:rPr>
                <w:szCs w:val="21"/>
              </w:rPr>
            </w:pPr>
            <w:r>
              <w:rPr>
                <w:szCs w:val="21"/>
              </w:rPr>
              <w:t>（5）同一投标人同一标段未提交两个以上不同的投标报价。</w:t>
            </w:r>
          </w:p>
          <w:p w14:paraId="6DB55E9D">
            <w:pPr>
              <w:snapToGrid w:val="0"/>
              <w:spacing w:line="320" w:lineRule="exact"/>
              <w:ind w:firstLine="420" w:firstLineChars="200"/>
              <w:rPr>
                <w:szCs w:val="21"/>
              </w:rPr>
            </w:pPr>
            <w:r>
              <w:rPr>
                <w:szCs w:val="21"/>
              </w:rPr>
              <w:t>（6）分项报价表中投标报价与投标函大写金额一致。</w:t>
            </w:r>
          </w:p>
          <w:p w14:paraId="61FB90EA">
            <w:pPr>
              <w:snapToGrid w:val="0"/>
              <w:spacing w:line="320" w:lineRule="exact"/>
              <w:ind w:firstLine="420" w:firstLineChars="200"/>
              <w:rPr>
                <w:szCs w:val="21"/>
              </w:rPr>
            </w:pPr>
            <w:r>
              <w:rPr>
                <w:szCs w:val="21"/>
              </w:rPr>
              <w:t>（7）递交的投标文件与所投标段一致。</w:t>
            </w:r>
          </w:p>
        </w:tc>
      </w:tr>
      <w:tr w14:paraId="2B90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86" w:hRule="atLeast"/>
          <w:jc w:val="center"/>
        </w:trPr>
        <w:tc>
          <w:tcPr>
            <w:tcW w:w="1143" w:type="dxa"/>
            <w:vAlign w:val="center"/>
          </w:tcPr>
          <w:p w14:paraId="30E31FF8">
            <w:pPr>
              <w:adjustRightInd w:val="0"/>
              <w:snapToGrid w:val="0"/>
              <w:spacing w:line="320" w:lineRule="exact"/>
              <w:jc w:val="center"/>
              <w:rPr>
                <w:szCs w:val="21"/>
              </w:rPr>
            </w:pPr>
            <w:r>
              <w:rPr>
                <w:szCs w:val="21"/>
              </w:rPr>
              <w:t>2.1.2</w:t>
            </w:r>
          </w:p>
        </w:tc>
        <w:tc>
          <w:tcPr>
            <w:tcW w:w="1317" w:type="dxa"/>
            <w:vAlign w:val="center"/>
          </w:tcPr>
          <w:p w14:paraId="144E430A">
            <w:pPr>
              <w:adjustRightInd w:val="0"/>
              <w:snapToGrid w:val="0"/>
              <w:spacing w:line="320" w:lineRule="exact"/>
              <w:jc w:val="center"/>
              <w:rPr>
                <w:szCs w:val="21"/>
              </w:rPr>
            </w:pPr>
            <w:r>
              <w:rPr>
                <w:szCs w:val="21"/>
              </w:rPr>
              <w:t>资格评审标准</w:t>
            </w:r>
          </w:p>
        </w:tc>
        <w:tc>
          <w:tcPr>
            <w:tcW w:w="7197" w:type="dxa"/>
            <w:vAlign w:val="center"/>
          </w:tcPr>
          <w:p w14:paraId="196E9739">
            <w:pPr>
              <w:snapToGrid w:val="0"/>
              <w:spacing w:line="320" w:lineRule="exact"/>
              <w:ind w:firstLine="420" w:firstLineChars="200"/>
              <w:rPr>
                <w:szCs w:val="21"/>
              </w:rPr>
            </w:pPr>
            <w:r>
              <w:rPr>
                <w:szCs w:val="21"/>
              </w:rPr>
              <w:t>（1）投标人具备有效的企业营业执照、组织机构代码证（三证合一或五证合一的除外）和基本账户开户许可证（或基本存款账户信息）；</w:t>
            </w:r>
          </w:p>
          <w:p w14:paraId="42AC2F36">
            <w:pPr>
              <w:snapToGrid w:val="0"/>
              <w:spacing w:line="320" w:lineRule="exact"/>
              <w:ind w:firstLine="420" w:firstLineChars="200"/>
              <w:rPr>
                <w:szCs w:val="21"/>
              </w:rPr>
            </w:pPr>
            <w:r>
              <w:rPr>
                <w:szCs w:val="21"/>
              </w:rPr>
              <w:t>（2）投标人的资质符合招标文件规定；</w:t>
            </w:r>
          </w:p>
          <w:p w14:paraId="629C0BB9">
            <w:pPr>
              <w:snapToGrid w:val="0"/>
              <w:spacing w:line="320" w:lineRule="exact"/>
              <w:ind w:firstLine="420" w:firstLineChars="200"/>
              <w:rPr>
                <w:szCs w:val="21"/>
              </w:rPr>
            </w:pPr>
            <w:r>
              <w:rPr>
                <w:szCs w:val="21"/>
              </w:rPr>
              <w:t>（3）投标人的财务状况符合招标文件规定</w:t>
            </w:r>
          </w:p>
          <w:p w14:paraId="177AA1A2">
            <w:pPr>
              <w:snapToGrid w:val="0"/>
              <w:spacing w:line="320" w:lineRule="exact"/>
              <w:ind w:firstLine="420" w:firstLineChars="200"/>
              <w:rPr>
                <w:szCs w:val="21"/>
              </w:rPr>
            </w:pPr>
            <w:r>
              <w:rPr>
                <w:szCs w:val="21"/>
              </w:rPr>
              <w:t>（4）投标人的业绩符合招标文件规定；</w:t>
            </w:r>
          </w:p>
          <w:p w14:paraId="56978D21">
            <w:pPr>
              <w:snapToGrid w:val="0"/>
              <w:spacing w:line="320" w:lineRule="exact"/>
              <w:ind w:firstLine="420" w:firstLineChars="200"/>
              <w:rPr>
                <w:szCs w:val="21"/>
              </w:rPr>
            </w:pPr>
            <w:r>
              <w:rPr>
                <w:szCs w:val="21"/>
              </w:rPr>
              <w:t>（5）投标人的信誉符合招标文件规定；</w:t>
            </w:r>
          </w:p>
          <w:p w14:paraId="0F0E1D8F">
            <w:pPr>
              <w:snapToGrid w:val="0"/>
              <w:spacing w:line="320" w:lineRule="exact"/>
              <w:ind w:firstLine="420" w:firstLineChars="200"/>
              <w:rPr>
                <w:szCs w:val="21"/>
              </w:rPr>
            </w:pPr>
            <w:r>
              <w:rPr>
                <w:szCs w:val="21"/>
              </w:rPr>
              <w:t>（6）投标人不存在第二章“投标人须知”第1.4.3项规定的任何一种情形。</w:t>
            </w:r>
          </w:p>
        </w:tc>
      </w:tr>
      <w:tr w14:paraId="08CC5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14:paraId="66575B3E">
            <w:pPr>
              <w:adjustRightInd w:val="0"/>
              <w:snapToGrid w:val="0"/>
              <w:spacing w:line="320" w:lineRule="exact"/>
              <w:jc w:val="center"/>
              <w:rPr>
                <w:szCs w:val="21"/>
              </w:rPr>
            </w:pPr>
            <w:r>
              <w:rPr>
                <w:szCs w:val="21"/>
              </w:rPr>
              <w:t>2.2</w:t>
            </w:r>
          </w:p>
        </w:tc>
        <w:tc>
          <w:tcPr>
            <w:tcW w:w="1317" w:type="dxa"/>
            <w:vAlign w:val="center"/>
          </w:tcPr>
          <w:p w14:paraId="405456A7">
            <w:pPr>
              <w:adjustRightInd w:val="0"/>
              <w:snapToGrid w:val="0"/>
              <w:spacing w:line="320" w:lineRule="exact"/>
              <w:jc w:val="center"/>
              <w:rPr>
                <w:szCs w:val="21"/>
              </w:rPr>
            </w:pPr>
            <w:r>
              <w:rPr>
                <w:sz w:val="22"/>
                <w:szCs w:val="21"/>
              </w:rPr>
              <w:t>详细评审标准</w:t>
            </w:r>
          </w:p>
        </w:tc>
        <w:tc>
          <w:tcPr>
            <w:tcW w:w="7197" w:type="dxa"/>
            <w:vAlign w:val="center"/>
          </w:tcPr>
          <w:p w14:paraId="7E8D2B8B">
            <w:pPr>
              <w:snapToGrid w:val="0"/>
              <w:spacing w:line="320" w:lineRule="exact"/>
              <w:ind w:firstLine="420" w:firstLineChars="200"/>
              <w:rPr>
                <w:szCs w:val="21"/>
              </w:rPr>
            </w:pPr>
            <w:r>
              <w:rPr>
                <w:szCs w:val="21"/>
              </w:rPr>
              <w:t>（1）评标价格调整方法：无。</w:t>
            </w:r>
          </w:p>
        </w:tc>
      </w:tr>
      <w:tr w14:paraId="459E6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14:paraId="230173EC">
            <w:pPr>
              <w:adjustRightInd w:val="0"/>
              <w:snapToGrid w:val="0"/>
              <w:spacing w:line="320" w:lineRule="exact"/>
              <w:jc w:val="center"/>
              <w:rPr>
                <w:szCs w:val="21"/>
              </w:rPr>
            </w:pPr>
            <w:r>
              <w:rPr>
                <w:szCs w:val="21"/>
              </w:rPr>
              <w:t>3.6.1</w:t>
            </w:r>
          </w:p>
        </w:tc>
        <w:tc>
          <w:tcPr>
            <w:tcW w:w="1317" w:type="dxa"/>
            <w:vAlign w:val="center"/>
          </w:tcPr>
          <w:p w14:paraId="09C8E76D">
            <w:pPr>
              <w:adjustRightInd w:val="0"/>
              <w:snapToGrid w:val="0"/>
              <w:spacing w:line="320" w:lineRule="exact"/>
              <w:jc w:val="center"/>
              <w:rPr>
                <w:szCs w:val="21"/>
              </w:rPr>
            </w:pPr>
            <w:r>
              <w:rPr>
                <w:szCs w:val="21"/>
              </w:rPr>
              <w:t>信息查询</w:t>
            </w:r>
          </w:p>
        </w:tc>
        <w:tc>
          <w:tcPr>
            <w:tcW w:w="7197" w:type="dxa"/>
            <w:vAlign w:val="center"/>
          </w:tcPr>
          <w:p w14:paraId="7B62E708">
            <w:pPr>
              <w:adjustRightInd w:val="0"/>
              <w:snapToGrid w:val="0"/>
              <w:spacing w:line="320" w:lineRule="exact"/>
              <w:rPr>
                <w:szCs w:val="21"/>
              </w:rPr>
            </w:pPr>
            <w:r>
              <w:rPr>
                <w:szCs w:val="21"/>
              </w:rPr>
              <w:t>修改为：</w:t>
            </w:r>
          </w:p>
          <w:p w14:paraId="1C462514">
            <w:pPr>
              <w:snapToGrid w:val="0"/>
              <w:spacing w:line="320" w:lineRule="exact"/>
              <w:rPr>
                <w:szCs w:val="21"/>
              </w:rPr>
            </w:pPr>
            <w:r>
              <w:rPr>
                <w:szCs w:val="21"/>
              </w:rPr>
              <w:t>在评标过程中，评标委员会应对以下信息进行查询：</w:t>
            </w:r>
          </w:p>
          <w:p w14:paraId="4A093DD1">
            <w:pPr>
              <w:snapToGrid w:val="0"/>
              <w:spacing w:line="320" w:lineRule="exact"/>
              <w:ind w:firstLine="327" w:firstLineChars="156"/>
              <w:rPr>
                <w:szCs w:val="21"/>
              </w:rPr>
            </w:pPr>
            <w:r>
              <w:rPr>
                <w:szCs w:val="21"/>
              </w:rPr>
              <w:t>（1）投标人信用情况网页截图内容与在“国家企业信用信息公示系统”中严重违法失信名单（黑名单）信息（不含分公司），在“信用中国”网站“中失信被执行人、经营（活动）异常名录、重大税收违法失信主体、政府采购严重违法失信行为记录名单、安全生产严重失信主体名单（均不含分公司）的复核结果一致。</w:t>
            </w:r>
          </w:p>
          <w:p w14:paraId="5F9554B0">
            <w:pPr>
              <w:snapToGrid w:val="0"/>
              <w:spacing w:line="320" w:lineRule="exact"/>
              <w:ind w:firstLine="327" w:firstLineChars="156"/>
              <w:rPr>
                <w:szCs w:val="21"/>
              </w:rPr>
            </w:pPr>
            <w:r>
              <w:rPr>
                <w:szCs w:val="21"/>
              </w:rPr>
              <w:t>如投标人未提供相关网页截图或所附截图与复核结果不一致导致不能满足资格评审要求的，评标委员会应否决其投标。</w:t>
            </w:r>
          </w:p>
          <w:p w14:paraId="7EDED500">
            <w:pPr>
              <w:snapToGrid w:val="0"/>
              <w:spacing w:line="320" w:lineRule="exact"/>
              <w:ind w:firstLine="420" w:firstLineChars="200"/>
              <w:rPr>
                <w:szCs w:val="21"/>
              </w:rPr>
            </w:pPr>
            <w:r>
              <w:rPr>
                <w:szCs w:val="21"/>
                <w:lang w:bidi="ar"/>
              </w:rPr>
              <w:t>投标人应保证本款所附的全部截图的真实性。</w:t>
            </w:r>
            <w:r>
              <w:rPr>
                <w:szCs w:val="21"/>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bl>
    <w:p w14:paraId="6890B339">
      <w:pPr>
        <w:wordWrap w:val="0"/>
        <w:autoSpaceDE w:val="0"/>
        <w:autoSpaceDN w:val="0"/>
        <w:adjustRightInd w:val="0"/>
        <w:ind w:right="-20"/>
        <w:jc w:val="left"/>
        <w:outlineLvl w:val="3"/>
        <w:rPr>
          <w:szCs w:val="21"/>
        </w:rPr>
      </w:pPr>
    </w:p>
    <w:p w14:paraId="12388759">
      <w:pPr>
        <w:wordWrap w:val="0"/>
        <w:autoSpaceDE w:val="0"/>
        <w:autoSpaceDN w:val="0"/>
        <w:adjustRightInd w:val="0"/>
        <w:ind w:right="-20"/>
        <w:jc w:val="left"/>
        <w:outlineLvl w:val="3"/>
        <w:rPr>
          <w:b/>
          <w:sz w:val="28"/>
          <w:szCs w:val="28"/>
        </w:rPr>
      </w:pPr>
      <w:r>
        <w:rPr>
          <w:szCs w:val="21"/>
        </w:rPr>
        <w:br w:type="page"/>
      </w:r>
      <w:bookmarkStart w:id="3" w:name="_Hlk192057202"/>
      <w:bookmarkStart w:id="4" w:name="_Hlk192110034"/>
      <w:bookmarkStart w:id="5" w:name="_Hlk204800105"/>
      <w:r>
        <w:rPr>
          <w:b/>
          <w:sz w:val="28"/>
          <w:szCs w:val="28"/>
        </w:rPr>
        <w:t>附件3：设备需求一览表</w:t>
      </w:r>
      <w:bookmarkEnd w:id="3"/>
    </w:p>
    <w:bookmarkEnd w:id="4"/>
    <w:bookmarkEnd w:id="5"/>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1656"/>
        <w:gridCol w:w="3732"/>
        <w:gridCol w:w="824"/>
        <w:gridCol w:w="1131"/>
      </w:tblGrid>
      <w:tr w14:paraId="1985C2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Align w:val="center"/>
          </w:tcPr>
          <w:p w14:paraId="1DAD1B8E">
            <w:pPr>
              <w:widowControl/>
              <w:jc w:val="center"/>
              <w:rPr>
                <w:b/>
                <w:bCs/>
                <w:kern w:val="0"/>
                <w:szCs w:val="21"/>
              </w:rPr>
            </w:pPr>
            <w:r>
              <w:rPr>
                <w:b/>
                <w:bCs/>
                <w:kern w:val="0"/>
                <w:szCs w:val="21"/>
              </w:rPr>
              <w:t>标段</w:t>
            </w:r>
          </w:p>
        </w:tc>
        <w:tc>
          <w:tcPr>
            <w:tcW w:w="1656" w:type="dxa"/>
            <w:vAlign w:val="center"/>
          </w:tcPr>
          <w:p w14:paraId="1506CF3C">
            <w:pPr>
              <w:widowControl/>
              <w:jc w:val="center"/>
              <w:rPr>
                <w:b/>
                <w:bCs/>
                <w:kern w:val="0"/>
                <w:szCs w:val="21"/>
              </w:rPr>
            </w:pPr>
            <w:r>
              <w:rPr>
                <w:b/>
                <w:bCs/>
                <w:kern w:val="0"/>
                <w:szCs w:val="21"/>
              </w:rPr>
              <w:t>设备类别</w:t>
            </w:r>
          </w:p>
        </w:tc>
        <w:tc>
          <w:tcPr>
            <w:tcW w:w="3732" w:type="dxa"/>
            <w:vAlign w:val="center"/>
          </w:tcPr>
          <w:p w14:paraId="4148F090">
            <w:pPr>
              <w:widowControl/>
              <w:jc w:val="center"/>
              <w:rPr>
                <w:b/>
                <w:bCs/>
                <w:kern w:val="0"/>
                <w:szCs w:val="21"/>
              </w:rPr>
            </w:pPr>
            <w:r>
              <w:rPr>
                <w:b/>
                <w:bCs/>
                <w:kern w:val="0"/>
                <w:szCs w:val="21"/>
              </w:rPr>
              <w:t>主要内容</w:t>
            </w:r>
          </w:p>
        </w:tc>
        <w:tc>
          <w:tcPr>
            <w:tcW w:w="824" w:type="dxa"/>
            <w:vAlign w:val="center"/>
          </w:tcPr>
          <w:p w14:paraId="26418DE5">
            <w:pPr>
              <w:widowControl/>
              <w:jc w:val="center"/>
              <w:rPr>
                <w:b/>
                <w:bCs/>
                <w:kern w:val="0"/>
                <w:szCs w:val="21"/>
              </w:rPr>
            </w:pPr>
            <w:r>
              <w:rPr>
                <w:b/>
                <w:bCs/>
                <w:kern w:val="0"/>
                <w:szCs w:val="21"/>
              </w:rPr>
              <w:t>单位</w:t>
            </w:r>
          </w:p>
        </w:tc>
        <w:tc>
          <w:tcPr>
            <w:tcW w:w="1131" w:type="dxa"/>
            <w:vAlign w:val="center"/>
          </w:tcPr>
          <w:p w14:paraId="3BED4BE7">
            <w:pPr>
              <w:widowControl/>
              <w:jc w:val="center"/>
              <w:rPr>
                <w:b/>
                <w:bCs/>
                <w:kern w:val="0"/>
                <w:szCs w:val="21"/>
              </w:rPr>
            </w:pPr>
            <w:r>
              <w:rPr>
                <w:b/>
                <w:bCs/>
                <w:kern w:val="0"/>
                <w:szCs w:val="21"/>
              </w:rPr>
              <w:t>数量</w:t>
            </w:r>
          </w:p>
        </w:tc>
      </w:tr>
      <w:tr w14:paraId="689058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restart"/>
            <w:vAlign w:val="center"/>
          </w:tcPr>
          <w:p w14:paraId="3B78CE5D">
            <w:pPr>
              <w:widowControl/>
              <w:jc w:val="center"/>
              <w:rPr>
                <w:b/>
                <w:bCs/>
                <w:kern w:val="0"/>
                <w:szCs w:val="21"/>
              </w:rPr>
            </w:pPr>
            <w:r>
              <w:rPr>
                <w:b/>
                <w:bCs/>
                <w:kern w:val="0"/>
                <w:szCs w:val="21"/>
              </w:rPr>
              <w:t>一标段</w:t>
            </w:r>
          </w:p>
        </w:tc>
        <w:tc>
          <w:tcPr>
            <w:tcW w:w="1656" w:type="dxa"/>
            <w:vMerge w:val="restart"/>
            <w:vAlign w:val="center"/>
          </w:tcPr>
          <w:p w14:paraId="24918E78">
            <w:pPr>
              <w:widowControl/>
              <w:jc w:val="center"/>
              <w:rPr>
                <w:b/>
                <w:bCs/>
                <w:kern w:val="0"/>
                <w:szCs w:val="21"/>
              </w:rPr>
            </w:pPr>
            <w:r>
              <w:rPr>
                <w:rFonts w:hint="eastAsia"/>
                <w:b/>
                <w:bCs/>
                <w:kern w:val="0"/>
                <w:szCs w:val="21"/>
              </w:rPr>
              <w:t>可变信息标志</w:t>
            </w:r>
          </w:p>
        </w:tc>
        <w:tc>
          <w:tcPr>
            <w:tcW w:w="3732" w:type="dxa"/>
            <w:vAlign w:val="center"/>
          </w:tcPr>
          <w:p w14:paraId="7F134C69">
            <w:pPr>
              <w:widowControl/>
              <w:jc w:val="center"/>
              <w:textAlignment w:val="center"/>
              <w:rPr>
                <w:kern w:val="0"/>
                <w:szCs w:val="21"/>
              </w:rPr>
            </w:pPr>
            <w:r>
              <w:rPr>
                <w:rFonts w:hint="eastAsia"/>
                <w:kern w:val="0"/>
                <w:szCs w:val="21"/>
              </w:rPr>
              <w:t>主线悬臂式可变信息标志（4m×2m）</w:t>
            </w:r>
          </w:p>
        </w:tc>
        <w:tc>
          <w:tcPr>
            <w:tcW w:w="824" w:type="dxa"/>
            <w:vAlign w:val="center"/>
          </w:tcPr>
          <w:p w14:paraId="2267488A">
            <w:pPr>
              <w:widowControl/>
              <w:jc w:val="center"/>
              <w:textAlignment w:val="center"/>
              <w:rPr>
                <w:kern w:val="0"/>
                <w:szCs w:val="21"/>
              </w:rPr>
            </w:pPr>
            <w:r>
              <w:rPr>
                <w:rFonts w:hint="eastAsia"/>
                <w:kern w:val="0"/>
                <w:szCs w:val="21"/>
              </w:rPr>
              <w:t>套</w:t>
            </w:r>
          </w:p>
        </w:tc>
        <w:tc>
          <w:tcPr>
            <w:tcW w:w="1131" w:type="dxa"/>
            <w:vAlign w:val="center"/>
          </w:tcPr>
          <w:p w14:paraId="6F569B4A">
            <w:pPr>
              <w:widowControl/>
              <w:jc w:val="center"/>
              <w:rPr>
                <w:kern w:val="0"/>
                <w:szCs w:val="21"/>
              </w:rPr>
            </w:pPr>
            <w:r>
              <w:rPr>
                <w:rFonts w:hint="eastAsia"/>
                <w:kern w:val="0"/>
                <w:szCs w:val="21"/>
              </w:rPr>
              <w:t>4</w:t>
            </w:r>
          </w:p>
        </w:tc>
      </w:tr>
      <w:tr w14:paraId="3DC08A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04AC62B5">
            <w:pPr>
              <w:widowControl/>
              <w:jc w:val="center"/>
              <w:rPr>
                <w:b/>
                <w:bCs/>
                <w:kern w:val="0"/>
                <w:szCs w:val="21"/>
              </w:rPr>
            </w:pPr>
          </w:p>
        </w:tc>
        <w:tc>
          <w:tcPr>
            <w:tcW w:w="1656" w:type="dxa"/>
            <w:vMerge w:val="continue"/>
            <w:vAlign w:val="center"/>
          </w:tcPr>
          <w:p w14:paraId="64537B3D">
            <w:pPr>
              <w:widowControl/>
              <w:jc w:val="center"/>
              <w:rPr>
                <w:b/>
                <w:bCs/>
                <w:kern w:val="0"/>
                <w:szCs w:val="21"/>
              </w:rPr>
            </w:pPr>
          </w:p>
        </w:tc>
        <w:tc>
          <w:tcPr>
            <w:tcW w:w="3732" w:type="dxa"/>
            <w:vAlign w:val="center"/>
          </w:tcPr>
          <w:p w14:paraId="71ABC9EB">
            <w:pPr>
              <w:widowControl/>
              <w:jc w:val="center"/>
              <w:textAlignment w:val="center"/>
              <w:rPr>
                <w:kern w:val="0"/>
                <w:szCs w:val="21"/>
              </w:rPr>
            </w:pPr>
            <w:r>
              <w:rPr>
                <w:rFonts w:hint="eastAsia"/>
                <w:kern w:val="0"/>
                <w:szCs w:val="21"/>
              </w:rPr>
              <w:t>收费站广场悬臂式可变信息标志（4m×2m）</w:t>
            </w:r>
          </w:p>
        </w:tc>
        <w:tc>
          <w:tcPr>
            <w:tcW w:w="824" w:type="dxa"/>
            <w:vAlign w:val="center"/>
          </w:tcPr>
          <w:p w14:paraId="666E38C0">
            <w:pPr>
              <w:widowControl/>
              <w:jc w:val="center"/>
              <w:textAlignment w:val="center"/>
              <w:rPr>
                <w:kern w:val="0"/>
                <w:szCs w:val="21"/>
              </w:rPr>
            </w:pPr>
            <w:r>
              <w:rPr>
                <w:rFonts w:hint="eastAsia"/>
                <w:kern w:val="0"/>
                <w:szCs w:val="21"/>
              </w:rPr>
              <w:t>套</w:t>
            </w:r>
          </w:p>
        </w:tc>
        <w:tc>
          <w:tcPr>
            <w:tcW w:w="1131" w:type="dxa"/>
            <w:vAlign w:val="center"/>
          </w:tcPr>
          <w:p w14:paraId="2D840BAC">
            <w:pPr>
              <w:widowControl/>
              <w:jc w:val="center"/>
              <w:rPr>
                <w:kern w:val="0"/>
                <w:szCs w:val="21"/>
              </w:rPr>
            </w:pPr>
            <w:r>
              <w:rPr>
                <w:rFonts w:hint="eastAsia"/>
                <w:kern w:val="0"/>
                <w:szCs w:val="21"/>
              </w:rPr>
              <w:t>3</w:t>
            </w:r>
          </w:p>
        </w:tc>
      </w:tr>
      <w:tr w14:paraId="4C5A87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1E9C4822">
            <w:pPr>
              <w:widowControl/>
              <w:jc w:val="center"/>
              <w:rPr>
                <w:b/>
                <w:bCs/>
                <w:kern w:val="0"/>
                <w:szCs w:val="21"/>
              </w:rPr>
            </w:pPr>
          </w:p>
        </w:tc>
        <w:tc>
          <w:tcPr>
            <w:tcW w:w="1656" w:type="dxa"/>
            <w:vMerge w:val="continue"/>
            <w:vAlign w:val="center"/>
          </w:tcPr>
          <w:p w14:paraId="6C87FFE3">
            <w:pPr>
              <w:widowControl/>
              <w:jc w:val="center"/>
              <w:rPr>
                <w:b/>
                <w:bCs/>
                <w:kern w:val="0"/>
                <w:szCs w:val="21"/>
              </w:rPr>
            </w:pPr>
          </w:p>
        </w:tc>
        <w:tc>
          <w:tcPr>
            <w:tcW w:w="3732" w:type="dxa"/>
            <w:vAlign w:val="center"/>
          </w:tcPr>
          <w:p w14:paraId="3870A8DE">
            <w:pPr>
              <w:widowControl/>
              <w:jc w:val="center"/>
              <w:textAlignment w:val="center"/>
              <w:rPr>
                <w:kern w:val="0"/>
                <w:szCs w:val="21"/>
              </w:rPr>
            </w:pPr>
            <w:r>
              <w:rPr>
                <w:rFonts w:hint="eastAsia"/>
                <w:kern w:val="0"/>
                <w:szCs w:val="21"/>
              </w:rPr>
              <w:t>悬臂式可变信息标志（3.84m*1.92m，含控制器、设备箱）</w:t>
            </w:r>
          </w:p>
        </w:tc>
        <w:tc>
          <w:tcPr>
            <w:tcW w:w="824" w:type="dxa"/>
            <w:vAlign w:val="center"/>
          </w:tcPr>
          <w:p w14:paraId="550B1ACC">
            <w:pPr>
              <w:widowControl/>
              <w:jc w:val="center"/>
              <w:textAlignment w:val="center"/>
              <w:rPr>
                <w:kern w:val="0"/>
                <w:szCs w:val="21"/>
              </w:rPr>
            </w:pPr>
            <w:r>
              <w:rPr>
                <w:rFonts w:hint="eastAsia"/>
                <w:kern w:val="0"/>
                <w:szCs w:val="21"/>
              </w:rPr>
              <w:t>套</w:t>
            </w:r>
          </w:p>
        </w:tc>
        <w:tc>
          <w:tcPr>
            <w:tcW w:w="1131" w:type="dxa"/>
            <w:vAlign w:val="center"/>
          </w:tcPr>
          <w:p w14:paraId="260FEF42">
            <w:pPr>
              <w:widowControl/>
              <w:jc w:val="center"/>
              <w:rPr>
                <w:kern w:val="0"/>
                <w:szCs w:val="21"/>
              </w:rPr>
            </w:pPr>
            <w:r>
              <w:rPr>
                <w:rFonts w:hint="eastAsia"/>
                <w:kern w:val="0"/>
                <w:szCs w:val="21"/>
              </w:rPr>
              <w:t>7</w:t>
            </w:r>
          </w:p>
        </w:tc>
      </w:tr>
      <w:tr w14:paraId="7E6068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47FCC469">
            <w:pPr>
              <w:widowControl/>
              <w:jc w:val="center"/>
              <w:rPr>
                <w:b/>
                <w:bCs/>
                <w:kern w:val="0"/>
                <w:szCs w:val="21"/>
              </w:rPr>
            </w:pPr>
          </w:p>
        </w:tc>
        <w:tc>
          <w:tcPr>
            <w:tcW w:w="1656" w:type="dxa"/>
            <w:vMerge w:val="continue"/>
            <w:vAlign w:val="center"/>
          </w:tcPr>
          <w:p w14:paraId="4707C82F">
            <w:pPr>
              <w:widowControl/>
              <w:jc w:val="center"/>
              <w:rPr>
                <w:b/>
                <w:bCs/>
                <w:kern w:val="0"/>
                <w:szCs w:val="21"/>
              </w:rPr>
            </w:pPr>
          </w:p>
        </w:tc>
        <w:tc>
          <w:tcPr>
            <w:tcW w:w="3732" w:type="dxa"/>
            <w:vAlign w:val="center"/>
          </w:tcPr>
          <w:p w14:paraId="10979D53">
            <w:pPr>
              <w:widowControl/>
              <w:jc w:val="center"/>
              <w:textAlignment w:val="center"/>
              <w:rPr>
                <w:kern w:val="0"/>
                <w:szCs w:val="21"/>
              </w:rPr>
            </w:pPr>
            <w:r>
              <w:rPr>
                <w:rFonts w:hint="eastAsia"/>
                <w:kern w:val="0"/>
                <w:szCs w:val="21"/>
              </w:rPr>
              <w:t>被交路悬臂式可变信息标志（标志2m*4m，显示面积1.92m×3.84m，含控制器、设备箱）</w:t>
            </w:r>
          </w:p>
        </w:tc>
        <w:tc>
          <w:tcPr>
            <w:tcW w:w="824" w:type="dxa"/>
            <w:vAlign w:val="center"/>
          </w:tcPr>
          <w:p w14:paraId="237B425C">
            <w:pPr>
              <w:widowControl/>
              <w:jc w:val="center"/>
              <w:textAlignment w:val="center"/>
              <w:rPr>
                <w:kern w:val="0"/>
                <w:szCs w:val="21"/>
              </w:rPr>
            </w:pPr>
            <w:r>
              <w:rPr>
                <w:rFonts w:hint="eastAsia"/>
                <w:kern w:val="0"/>
                <w:szCs w:val="21"/>
              </w:rPr>
              <w:t>套</w:t>
            </w:r>
          </w:p>
        </w:tc>
        <w:tc>
          <w:tcPr>
            <w:tcW w:w="1131" w:type="dxa"/>
            <w:vAlign w:val="center"/>
          </w:tcPr>
          <w:p w14:paraId="4AAD88A8">
            <w:pPr>
              <w:widowControl/>
              <w:jc w:val="center"/>
              <w:rPr>
                <w:kern w:val="0"/>
                <w:szCs w:val="21"/>
              </w:rPr>
            </w:pPr>
            <w:r>
              <w:rPr>
                <w:rFonts w:hint="eastAsia"/>
                <w:kern w:val="0"/>
                <w:szCs w:val="21"/>
              </w:rPr>
              <w:t>2</w:t>
            </w:r>
          </w:p>
        </w:tc>
      </w:tr>
      <w:tr w14:paraId="55A0AD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5398BD8C">
            <w:pPr>
              <w:widowControl/>
              <w:jc w:val="center"/>
              <w:rPr>
                <w:b/>
                <w:bCs/>
                <w:kern w:val="0"/>
                <w:szCs w:val="21"/>
              </w:rPr>
            </w:pPr>
          </w:p>
        </w:tc>
        <w:tc>
          <w:tcPr>
            <w:tcW w:w="1656" w:type="dxa"/>
            <w:vMerge w:val="continue"/>
            <w:vAlign w:val="center"/>
          </w:tcPr>
          <w:p w14:paraId="25AC7E4D">
            <w:pPr>
              <w:widowControl/>
              <w:jc w:val="center"/>
              <w:rPr>
                <w:b/>
                <w:bCs/>
                <w:kern w:val="0"/>
                <w:szCs w:val="21"/>
              </w:rPr>
            </w:pPr>
          </w:p>
        </w:tc>
        <w:tc>
          <w:tcPr>
            <w:tcW w:w="3732" w:type="dxa"/>
            <w:vAlign w:val="center"/>
          </w:tcPr>
          <w:p w14:paraId="65760CAA">
            <w:pPr>
              <w:widowControl/>
              <w:jc w:val="center"/>
              <w:textAlignment w:val="center"/>
              <w:rPr>
                <w:kern w:val="0"/>
                <w:szCs w:val="21"/>
              </w:rPr>
            </w:pPr>
            <w:r>
              <w:rPr>
                <w:rFonts w:hint="eastAsia"/>
                <w:kern w:val="0"/>
                <w:szCs w:val="21"/>
              </w:rPr>
              <w:t>主线门架式可变信息标志（显示面积1m×14m，含控制器、设备箱）</w:t>
            </w:r>
          </w:p>
        </w:tc>
        <w:tc>
          <w:tcPr>
            <w:tcW w:w="824" w:type="dxa"/>
            <w:vAlign w:val="center"/>
          </w:tcPr>
          <w:p w14:paraId="7CD0B48A">
            <w:pPr>
              <w:widowControl/>
              <w:jc w:val="center"/>
              <w:textAlignment w:val="center"/>
              <w:rPr>
                <w:kern w:val="0"/>
                <w:szCs w:val="21"/>
              </w:rPr>
            </w:pPr>
            <w:r>
              <w:rPr>
                <w:rFonts w:hint="eastAsia"/>
                <w:kern w:val="0"/>
                <w:szCs w:val="21"/>
              </w:rPr>
              <w:t>套</w:t>
            </w:r>
          </w:p>
        </w:tc>
        <w:tc>
          <w:tcPr>
            <w:tcW w:w="1131" w:type="dxa"/>
            <w:vAlign w:val="center"/>
          </w:tcPr>
          <w:p w14:paraId="6DAB09B7">
            <w:pPr>
              <w:widowControl/>
              <w:jc w:val="center"/>
              <w:rPr>
                <w:kern w:val="0"/>
                <w:szCs w:val="21"/>
              </w:rPr>
            </w:pPr>
            <w:r>
              <w:rPr>
                <w:rFonts w:hint="eastAsia"/>
                <w:kern w:val="0"/>
                <w:szCs w:val="21"/>
              </w:rPr>
              <w:t>2</w:t>
            </w:r>
          </w:p>
        </w:tc>
      </w:tr>
      <w:tr w14:paraId="24FCCD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1037DF0D">
            <w:pPr>
              <w:widowControl/>
              <w:jc w:val="center"/>
              <w:rPr>
                <w:b/>
                <w:bCs/>
                <w:kern w:val="0"/>
                <w:szCs w:val="21"/>
              </w:rPr>
            </w:pPr>
          </w:p>
        </w:tc>
        <w:tc>
          <w:tcPr>
            <w:tcW w:w="1656" w:type="dxa"/>
            <w:vMerge w:val="continue"/>
            <w:vAlign w:val="center"/>
          </w:tcPr>
          <w:p w14:paraId="4A749FD5">
            <w:pPr>
              <w:widowControl/>
              <w:jc w:val="center"/>
              <w:rPr>
                <w:b/>
                <w:bCs/>
                <w:kern w:val="0"/>
                <w:szCs w:val="21"/>
              </w:rPr>
            </w:pPr>
          </w:p>
        </w:tc>
        <w:tc>
          <w:tcPr>
            <w:tcW w:w="3732" w:type="dxa"/>
            <w:vAlign w:val="center"/>
          </w:tcPr>
          <w:p w14:paraId="77248B5D">
            <w:pPr>
              <w:widowControl/>
              <w:jc w:val="center"/>
              <w:textAlignment w:val="center"/>
              <w:rPr>
                <w:kern w:val="0"/>
                <w:szCs w:val="21"/>
              </w:rPr>
            </w:pPr>
            <w:r>
              <w:rPr>
                <w:rFonts w:hint="eastAsia"/>
                <w:kern w:val="0"/>
                <w:szCs w:val="21"/>
              </w:rPr>
              <w:t>服务区悬臂式可变信息标志（标志2m*4m，显示面积1.92m×3.84m，含控制器、设备箱）</w:t>
            </w:r>
          </w:p>
        </w:tc>
        <w:tc>
          <w:tcPr>
            <w:tcW w:w="824" w:type="dxa"/>
            <w:vAlign w:val="center"/>
          </w:tcPr>
          <w:p w14:paraId="50035895">
            <w:pPr>
              <w:widowControl/>
              <w:jc w:val="center"/>
              <w:textAlignment w:val="center"/>
              <w:rPr>
                <w:kern w:val="0"/>
                <w:szCs w:val="21"/>
              </w:rPr>
            </w:pPr>
            <w:r>
              <w:rPr>
                <w:rFonts w:hint="eastAsia"/>
                <w:kern w:val="0"/>
                <w:szCs w:val="21"/>
              </w:rPr>
              <w:t>套</w:t>
            </w:r>
          </w:p>
        </w:tc>
        <w:tc>
          <w:tcPr>
            <w:tcW w:w="1131" w:type="dxa"/>
            <w:vAlign w:val="center"/>
          </w:tcPr>
          <w:p w14:paraId="2B6A3841">
            <w:pPr>
              <w:widowControl/>
              <w:jc w:val="center"/>
              <w:rPr>
                <w:kern w:val="0"/>
                <w:szCs w:val="21"/>
              </w:rPr>
            </w:pPr>
            <w:r>
              <w:rPr>
                <w:rFonts w:hint="eastAsia"/>
                <w:kern w:val="0"/>
                <w:szCs w:val="21"/>
              </w:rPr>
              <w:t>4</w:t>
            </w:r>
          </w:p>
        </w:tc>
      </w:tr>
      <w:tr w14:paraId="6A4DA3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115961EB">
            <w:pPr>
              <w:widowControl/>
              <w:jc w:val="center"/>
              <w:rPr>
                <w:b/>
                <w:bCs/>
                <w:kern w:val="0"/>
                <w:szCs w:val="21"/>
              </w:rPr>
            </w:pPr>
          </w:p>
        </w:tc>
        <w:tc>
          <w:tcPr>
            <w:tcW w:w="1656" w:type="dxa"/>
            <w:vMerge w:val="continue"/>
            <w:vAlign w:val="center"/>
          </w:tcPr>
          <w:p w14:paraId="2D0E2AEC">
            <w:pPr>
              <w:widowControl/>
              <w:jc w:val="center"/>
              <w:rPr>
                <w:b/>
                <w:bCs/>
                <w:kern w:val="0"/>
                <w:szCs w:val="21"/>
              </w:rPr>
            </w:pPr>
          </w:p>
        </w:tc>
        <w:tc>
          <w:tcPr>
            <w:tcW w:w="3732" w:type="dxa"/>
            <w:vAlign w:val="center"/>
          </w:tcPr>
          <w:p w14:paraId="13915C34">
            <w:pPr>
              <w:widowControl/>
              <w:jc w:val="center"/>
              <w:textAlignment w:val="center"/>
              <w:rPr>
                <w:kern w:val="0"/>
                <w:szCs w:val="21"/>
              </w:rPr>
            </w:pPr>
            <w:r>
              <w:rPr>
                <w:rFonts w:hint="eastAsia"/>
                <w:kern w:val="0"/>
                <w:szCs w:val="21"/>
              </w:rPr>
              <w:t>收费站室外LED屏（显示面积3*4m，点间距4mm，全彩）</w:t>
            </w:r>
          </w:p>
        </w:tc>
        <w:tc>
          <w:tcPr>
            <w:tcW w:w="824" w:type="dxa"/>
            <w:vAlign w:val="center"/>
          </w:tcPr>
          <w:p w14:paraId="4A8B00C5">
            <w:pPr>
              <w:widowControl/>
              <w:jc w:val="center"/>
              <w:textAlignment w:val="center"/>
              <w:rPr>
                <w:kern w:val="0"/>
                <w:szCs w:val="21"/>
              </w:rPr>
            </w:pPr>
            <w:r>
              <w:rPr>
                <w:rFonts w:hint="eastAsia"/>
                <w:kern w:val="0"/>
                <w:szCs w:val="21"/>
              </w:rPr>
              <w:t>套</w:t>
            </w:r>
          </w:p>
        </w:tc>
        <w:tc>
          <w:tcPr>
            <w:tcW w:w="1131" w:type="dxa"/>
            <w:vAlign w:val="center"/>
          </w:tcPr>
          <w:p w14:paraId="51A96327">
            <w:pPr>
              <w:widowControl/>
              <w:jc w:val="center"/>
              <w:rPr>
                <w:kern w:val="0"/>
                <w:szCs w:val="21"/>
              </w:rPr>
            </w:pPr>
            <w:r>
              <w:rPr>
                <w:rFonts w:hint="eastAsia"/>
                <w:kern w:val="0"/>
                <w:szCs w:val="21"/>
              </w:rPr>
              <w:t>1</w:t>
            </w:r>
          </w:p>
        </w:tc>
      </w:tr>
      <w:tr w14:paraId="5655DF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Align w:val="center"/>
          </w:tcPr>
          <w:p w14:paraId="3F98EC10">
            <w:pPr>
              <w:widowControl/>
              <w:jc w:val="center"/>
              <w:rPr>
                <w:b/>
                <w:bCs/>
                <w:kern w:val="0"/>
                <w:szCs w:val="21"/>
              </w:rPr>
            </w:pPr>
            <w:r>
              <w:rPr>
                <w:rFonts w:hint="eastAsia"/>
                <w:b/>
                <w:bCs/>
                <w:kern w:val="0"/>
                <w:szCs w:val="21"/>
              </w:rPr>
              <w:t>二</w:t>
            </w:r>
            <w:r>
              <w:rPr>
                <w:b/>
                <w:bCs/>
                <w:kern w:val="0"/>
                <w:szCs w:val="21"/>
              </w:rPr>
              <w:t>标段</w:t>
            </w:r>
          </w:p>
        </w:tc>
        <w:tc>
          <w:tcPr>
            <w:tcW w:w="1656" w:type="dxa"/>
            <w:vAlign w:val="center"/>
          </w:tcPr>
          <w:p w14:paraId="68A502C4">
            <w:pPr>
              <w:widowControl/>
              <w:jc w:val="center"/>
              <w:rPr>
                <w:b/>
                <w:bCs/>
                <w:kern w:val="0"/>
                <w:szCs w:val="21"/>
              </w:rPr>
            </w:pPr>
            <w:r>
              <w:rPr>
                <w:rFonts w:hint="eastAsia"/>
                <w:b/>
                <w:bCs/>
                <w:kern w:val="0"/>
                <w:szCs w:val="21"/>
              </w:rPr>
              <w:t>智慧云舱</w:t>
            </w:r>
          </w:p>
        </w:tc>
        <w:tc>
          <w:tcPr>
            <w:tcW w:w="3732" w:type="dxa"/>
            <w:vAlign w:val="center"/>
          </w:tcPr>
          <w:p w14:paraId="1D681B0E">
            <w:pPr>
              <w:widowControl/>
              <w:jc w:val="center"/>
              <w:textAlignment w:val="center"/>
              <w:rPr>
                <w:kern w:val="0"/>
                <w:szCs w:val="21"/>
              </w:rPr>
            </w:pPr>
            <w:r>
              <w:rPr>
                <w:kern w:val="0"/>
                <w:szCs w:val="21"/>
              </w:rPr>
              <w:t>智慧云舱</w:t>
            </w:r>
          </w:p>
        </w:tc>
        <w:tc>
          <w:tcPr>
            <w:tcW w:w="824" w:type="dxa"/>
            <w:vAlign w:val="center"/>
          </w:tcPr>
          <w:p w14:paraId="3DE2B99C">
            <w:pPr>
              <w:widowControl/>
              <w:jc w:val="center"/>
              <w:rPr>
                <w:kern w:val="0"/>
                <w:szCs w:val="21"/>
              </w:rPr>
            </w:pPr>
            <w:r>
              <w:rPr>
                <w:kern w:val="0"/>
                <w:szCs w:val="21"/>
              </w:rPr>
              <w:t>套</w:t>
            </w:r>
          </w:p>
        </w:tc>
        <w:tc>
          <w:tcPr>
            <w:tcW w:w="1131" w:type="dxa"/>
            <w:vAlign w:val="center"/>
          </w:tcPr>
          <w:p w14:paraId="3DF76120">
            <w:pPr>
              <w:widowControl/>
              <w:jc w:val="center"/>
              <w:rPr>
                <w:kern w:val="0"/>
                <w:szCs w:val="21"/>
              </w:rPr>
            </w:pPr>
            <w:r>
              <w:rPr>
                <w:rFonts w:hint="eastAsia"/>
                <w:kern w:val="0"/>
                <w:szCs w:val="21"/>
              </w:rPr>
              <w:t>3</w:t>
            </w:r>
          </w:p>
        </w:tc>
      </w:tr>
      <w:tr w14:paraId="29AA78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restart"/>
            <w:vAlign w:val="center"/>
          </w:tcPr>
          <w:p w14:paraId="375C66B9">
            <w:pPr>
              <w:widowControl/>
              <w:jc w:val="center"/>
              <w:rPr>
                <w:b/>
                <w:bCs/>
                <w:kern w:val="0"/>
                <w:szCs w:val="21"/>
              </w:rPr>
            </w:pPr>
            <w:r>
              <w:rPr>
                <w:rFonts w:hint="eastAsia"/>
                <w:b/>
                <w:bCs/>
                <w:kern w:val="0"/>
                <w:szCs w:val="21"/>
              </w:rPr>
              <w:t>三标段</w:t>
            </w:r>
          </w:p>
        </w:tc>
        <w:tc>
          <w:tcPr>
            <w:tcW w:w="1656" w:type="dxa"/>
            <w:vMerge w:val="restart"/>
            <w:vAlign w:val="center"/>
          </w:tcPr>
          <w:p w14:paraId="6EDD9A3A">
            <w:pPr>
              <w:widowControl/>
              <w:jc w:val="center"/>
              <w:rPr>
                <w:b/>
                <w:bCs/>
                <w:kern w:val="0"/>
                <w:szCs w:val="21"/>
              </w:rPr>
            </w:pPr>
            <w:r>
              <w:rPr>
                <w:rFonts w:hint="eastAsia"/>
                <w:b/>
                <w:bCs/>
                <w:kern w:val="0"/>
                <w:szCs w:val="21"/>
              </w:rPr>
              <w:t>UPS电源</w:t>
            </w:r>
          </w:p>
        </w:tc>
        <w:tc>
          <w:tcPr>
            <w:tcW w:w="3732" w:type="dxa"/>
            <w:vAlign w:val="center"/>
          </w:tcPr>
          <w:p w14:paraId="467286CD">
            <w:pPr>
              <w:widowControl/>
              <w:jc w:val="center"/>
              <w:textAlignment w:val="center"/>
              <w:rPr>
                <w:kern w:val="0"/>
                <w:szCs w:val="21"/>
              </w:rPr>
            </w:pPr>
            <w:r>
              <w:rPr>
                <w:rFonts w:hint="eastAsia"/>
                <w:kern w:val="0"/>
                <w:szCs w:val="21"/>
              </w:rPr>
              <w:t>40KVAUPS</w:t>
            </w:r>
          </w:p>
        </w:tc>
        <w:tc>
          <w:tcPr>
            <w:tcW w:w="824" w:type="dxa"/>
            <w:vAlign w:val="center"/>
          </w:tcPr>
          <w:p w14:paraId="32AA3752">
            <w:pPr>
              <w:widowControl/>
              <w:jc w:val="center"/>
              <w:textAlignment w:val="center"/>
              <w:rPr>
                <w:kern w:val="0"/>
                <w:szCs w:val="21"/>
              </w:rPr>
            </w:pPr>
            <w:r>
              <w:rPr>
                <w:rFonts w:hint="eastAsia"/>
                <w:kern w:val="0"/>
                <w:szCs w:val="21"/>
              </w:rPr>
              <w:t>套</w:t>
            </w:r>
          </w:p>
        </w:tc>
        <w:tc>
          <w:tcPr>
            <w:tcW w:w="1131" w:type="dxa"/>
            <w:vAlign w:val="center"/>
          </w:tcPr>
          <w:p w14:paraId="47191E41">
            <w:pPr>
              <w:widowControl/>
              <w:jc w:val="center"/>
              <w:rPr>
                <w:kern w:val="0"/>
                <w:szCs w:val="21"/>
              </w:rPr>
            </w:pPr>
            <w:r>
              <w:rPr>
                <w:rFonts w:hint="eastAsia"/>
                <w:kern w:val="0"/>
                <w:szCs w:val="21"/>
              </w:rPr>
              <w:t>4</w:t>
            </w:r>
          </w:p>
        </w:tc>
      </w:tr>
      <w:tr w14:paraId="11A4FF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0BE964D6">
            <w:pPr>
              <w:widowControl/>
              <w:jc w:val="center"/>
              <w:rPr>
                <w:b/>
                <w:bCs/>
                <w:kern w:val="0"/>
                <w:szCs w:val="21"/>
              </w:rPr>
            </w:pPr>
          </w:p>
        </w:tc>
        <w:tc>
          <w:tcPr>
            <w:tcW w:w="1656" w:type="dxa"/>
            <w:vMerge w:val="continue"/>
            <w:vAlign w:val="center"/>
          </w:tcPr>
          <w:p w14:paraId="13CE0BBC">
            <w:pPr>
              <w:widowControl/>
              <w:jc w:val="center"/>
              <w:rPr>
                <w:b/>
                <w:bCs/>
                <w:kern w:val="0"/>
                <w:szCs w:val="21"/>
              </w:rPr>
            </w:pPr>
          </w:p>
        </w:tc>
        <w:tc>
          <w:tcPr>
            <w:tcW w:w="3732" w:type="dxa"/>
            <w:vAlign w:val="center"/>
          </w:tcPr>
          <w:p w14:paraId="62A4E24B">
            <w:pPr>
              <w:widowControl/>
              <w:jc w:val="center"/>
              <w:textAlignment w:val="center"/>
              <w:rPr>
                <w:kern w:val="0"/>
                <w:szCs w:val="21"/>
              </w:rPr>
            </w:pPr>
            <w:r>
              <w:rPr>
                <w:rFonts w:hint="eastAsia"/>
                <w:kern w:val="0"/>
                <w:szCs w:val="21"/>
              </w:rPr>
              <w:t>30KVAUPS</w:t>
            </w:r>
          </w:p>
        </w:tc>
        <w:tc>
          <w:tcPr>
            <w:tcW w:w="824" w:type="dxa"/>
            <w:vAlign w:val="center"/>
          </w:tcPr>
          <w:p w14:paraId="6A8A3D85">
            <w:pPr>
              <w:widowControl/>
              <w:jc w:val="center"/>
              <w:textAlignment w:val="center"/>
              <w:rPr>
                <w:kern w:val="0"/>
                <w:szCs w:val="21"/>
              </w:rPr>
            </w:pPr>
            <w:r>
              <w:rPr>
                <w:rFonts w:hint="eastAsia"/>
                <w:kern w:val="0"/>
                <w:szCs w:val="21"/>
              </w:rPr>
              <w:t>套</w:t>
            </w:r>
          </w:p>
        </w:tc>
        <w:tc>
          <w:tcPr>
            <w:tcW w:w="1131" w:type="dxa"/>
            <w:vAlign w:val="center"/>
          </w:tcPr>
          <w:p w14:paraId="54671532">
            <w:pPr>
              <w:widowControl/>
              <w:jc w:val="center"/>
              <w:rPr>
                <w:kern w:val="0"/>
                <w:szCs w:val="21"/>
              </w:rPr>
            </w:pPr>
            <w:r>
              <w:rPr>
                <w:rFonts w:hint="eastAsia"/>
                <w:kern w:val="0"/>
                <w:szCs w:val="21"/>
              </w:rPr>
              <w:t>4</w:t>
            </w:r>
          </w:p>
        </w:tc>
      </w:tr>
      <w:tr w14:paraId="4DB232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01D762B1">
            <w:pPr>
              <w:widowControl/>
              <w:jc w:val="center"/>
              <w:rPr>
                <w:b/>
                <w:bCs/>
                <w:kern w:val="0"/>
                <w:szCs w:val="21"/>
              </w:rPr>
            </w:pPr>
          </w:p>
        </w:tc>
        <w:tc>
          <w:tcPr>
            <w:tcW w:w="1656" w:type="dxa"/>
            <w:vMerge w:val="continue"/>
            <w:vAlign w:val="center"/>
          </w:tcPr>
          <w:p w14:paraId="3EF1E2EA">
            <w:pPr>
              <w:widowControl/>
              <w:jc w:val="center"/>
              <w:rPr>
                <w:b/>
                <w:bCs/>
                <w:kern w:val="0"/>
                <w:szCs w:val="21"/>
              </w:rPr>
            </w:pPr>
          </w:p>
        </w:tc>
        <w:tc>
          <w:tcPr>
            <w:tcW w:w="3732" w:type="dxa"/>
            <w:vAlign w:val="center"/>
          </w:tcPr>
          <w:p w14:paraId="609AF0D7">
            <w:pPr>
              <w:widowControl/>
              <w:jc w:val="center"/>
              <w:textAlignment w:val="center"/>
              <w:rPr>
                <w:kern w:val="0"/>
                <w:szCs w:val="21"/>
              </w:rPr>
            </w:pPr>
            <w:r>
              <w:rPr>
                <w:rFonts w:hint="eastAsia"/>
                <w:kern w:val="0"/>
                <w:szCs w:val="21"/>
              </w:rPr>
              <w:t>5KVAUPS</w:t>
            </w:r>
          </w:p>
        </w:tc>
        <w:tc>
          <w:tcPr>
            <w:tcW w:w="824" w:type="dxa"/>
            <w:vAlign w:val="center"/>
          </w:tcPr>
          <w:p w14:paraId="3316640A">
            <w:pPr>
              <w:widowControl/>
              <w:jc w:val="center"/>
              <w:textAlignment w:val="center"/>
              <w:rPr>
                <w:kern w:val="0"/>
                <w:szCs w:val="21"/>
              </w:rPr>
            </w:pPr>
            <w:r>
              <w:rPr>
                <w:rFonts w:hint="eastAsia"/>
                <w:kern w:val="0"/>
                <w:szCs w:val="21"/>
              </w:rPr>
              <w:t>套</w:t>
            </w:r>
          </w:p>
        </w:tc>
        <w:tc>
          <w:tcPr>
            <w:tcW w:w="1131" w:type="dxa"/>
            <w:vAlign w:val="center"/>
          </w:tcPr>
          <w:p w14:paraId="7D0897BD">
            <w:pPr>
              <w:widowControl/>
              <w:jc w:val="center"/>
              <w:rPr>
                <w:kern w:val="0"/>
                <w:szCs w:val="21"/>
              </w:rPr>
            </w:pPr>
            <w:r>
              <w:rPr>
                <w:rFonts w:hint="eastAsia"/>
                <w:kern w:val="0"/>
                <w:szCs w:val="21"/>
              </w:rPr>
              <w:t>1</w:t>
            </w:r>
          </w:p>
        </w:tc>
      </w:tr>
      <w:tr w14:paraId="4D3625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Merge w:val="continue"/>
            <w:vAlign w:val="center"/>
          </w:tcPr>
          <w:p w14:paraId="483A2196">
            <w:pPr>
              <w:widowControl/>
              <w:jc w:val="center"/>
              <w:rPr>
                <w:b/>
                <w:bCs/>
                <w:kern w:val="0"/>
                <w:szCs w:val="21"/>
              </w:rPr>
            </w:pPr>
          </w:p>
        </w:tc>
        <w:tc>
          <w:tcPr>
            <w:tcW w:w="1656" w:type="dxa"/>
            <w:vMerge w:val="continue"/>
            <w:vAlign w:val="center"/>
          </w:tcPr>
          <w:p w14:paraId="79274C28">
            <w:pPr>
              <w:widowControl/>
              <w:jc w:val="center"/>
              <w:rPr>
                <w:b/>
                <w:bCs/>
                <w:kern w:val="0"/>
                <w:szCs w:val="21"/>
              </w:rPr>
            </w:pPr>
          </w:p>
        </w:tc>
        <w:tc>
          <w:tcPr>
            <w:tcW w:w="3732" w:type="dxa"/>
            <w:vAlign w:val="center"/>
          </w:tcPr>
          <w:p w14:paraId="73A1A479">
            <w:pPr>
              <w:widowControl/>
              <w:jc w:val="center"/>
              <w:textAlignment w:val="center"/>
              <w:rPr>
                <w:kern w:val="0"/>
                <w:szCs w:val="21"/>
              </w:rPr>
            </w:pPr>
            <w:r>
              <w:rPr>
                <w:rFonts w:hint="eastAsia"/>
                <w:kern w:val="0"/>
                <w:szCs w:val="21"/>
              </w:rPr>
              <w:t>20KVAUPS</w:t>
            </w:r>
          </w:p>
        </w:tc>
        <w:tc>
          <w:tcPr>
            <w:tcW w:w="824" w:type="dxa"/>
            <w:vAlign w:val="center"/>
          </w:tcPr>
          <w:p w14:paraId="1B2F9F3C">
            <w:pPr>
              <w:widowControl/>
              <w:jc w:val="center"/>
              <w:textAlignment w:val="center"/>
              <w:rPr>
                <w:kern w:val="0"/>
                <w:szCs w:val="21"/>
              </w:rPr>
            </w:pPr>
            <w:r>
              <w:rPr>
                <w:rFonts w:hint="eastAsia"/>
                <w:kern w:val="0"/>
                <w:szCs w:val="21"/>
              </w:rPr>
              <w:t>套</w:t>
            </w:r>
          </w:p>
        </w:tc>
        <w:tc>
          <w:tcPr>
            <w:tcW w:w="1131" w:type="dxa"/>
            <w:vAlign w:val="center"/>
          </w:tcPr>
          <w:p w14:paraId="0CFC7C38">
            <w:pPr>
              <w:widowControl/>
              <w:jc w:val="center"/>
              <w:rPr>
                <w:kern w:val="0"/>
                <w:szCs w:val="21"/>
              </w:rPr>
            </w:pPr>
            <w:r>
              <w:rPr>
                <w:rFonts w:hint="eastAsia"/>
                <w:kern w:val="0"/>
                <w:szCs w:val="21"/>
              </w:rPr>
              <w:t>2</w:t>
            </w:r>
          </w:p>
        </w:tc>
      </w:tr>
    </w:tbl>
    <w:p w14:paraId="5042F6B3">
      <w:pPr>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04833">
    <w:pPr>
      <w:autoSpaceDE w:val="0"/>
      <w:autoSpaceDN w:val="0"/>
      <w:adjustRightInd w:val="0"/>
      <w:spacing w:line="200" w:lineRule="exact"/>
      <w:jc w:val="left"/>
      <w:rPr>
        <w:kern w:val="0"/>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9880" cy="177165"/>
              <wp:effectExtent l="0" t="0" r="4445" b="3810"/>
              <wp:wrapNone/>
              <wp:docPr id="2014886729"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9880" cy="177165"/>
                      </a:xfrm>
                      <a:prstGeom prst="rect">
                        <a:avLst/>
                      </a:prstGeom>
                      <a:noFill/>
                      <a:ln>
                        <a:noFill/>
                      </a:ln>
                    </wps:spPr>
                    <wps:txbx>
                      <w:txbxContent>
                        <w:p w14:paraId="479092F6">
                          <w:r>
                            <w:fldChar w:fldCharType="begin"/>
                          </w:r>
                          <w:r>
                            <w:instrText xml:space="preserve"> PAGE  \* MERGEFORMAT </w:instrText>
                          </w:r>
                          <w:r>
                            <w:fldChar w:fldCharType="separate"/>
                          </w:r>
                          <w:r>
                            <w:rPr>
                              <w:lang w:val="en-US" w:eastAsia="zh-CN"/>
                            </w:rPr>
                            <w:t>23</w:t>
                          </w:r>
                          <w:r>
                            <w:fldChar w:fldCharType="end"/>
                          </w:r>
                        </w:p>
                      </w:txbxContent>
                    </wps:txbx>
                    <wps:bodyPr rot="0" vert="horz" wrap="square" lIns="0" tIns="0" rIns="0" bIns="0" anchor="t" anchorCtr="0" upright="1">
                      <a:noAutofit/>
                    </wps:bodyPr>
                  </wps:wsp>
                </a:graphicData>
              </a:graphic>
            </wp:anchor>
          </w:drawing>
        </mc:Choice>
        <mc:Fallback>
          <w:pict>
            <v:shape id="文本框 1" o:spid="_x0000_s1026" o:spt="202" type="#_x0000_t202" style="position:absolute;left:0pt;margin-top:0pt;height:13.95pt;width:24.4pt;mso-position-horizontal:center;mso-position-horizontal-relative:margin;z-index:251659264;mso-width-relative:page;mso-height-relative:page;" filled="f" stroked="f" coordsize="21600,21600" o:gfxdata="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SSZJ11AAAAAMBAAAPAAAAAAAAAAEA&#10;IAAAACIAAABkcnMvZG93bnJldi54bWxQSwECFAAUAAAACACHTuJA664kDxMCAAANBAAADgAAAAAA&#10;AAABACAAAAAjAQAAZHJzL2Uyb0RvYy54bWxQSwUGAAAAAAYABgBZAQAAqAUAAAAA&#10;">
              <v:fill on="f" focussize="0,0"/>
              <v:stroke on="f"/>
              <v:imagedata o:title=""/>
              <o:lock v:ext="edit" aspectratio="f"/>
              <v:textbox inset="0mm,0mm,0mm,0mm">
                <w:txbxContent>
                  <w:p w14:paraId="479092F6">
                    <w:r>
                      <w:fldChar w:fldCharType="begin"/>
                    </w:r>
                    <w:r>
                      <w:instrText xml:space="preserve"> PAGE  \* MERGEFORMAT </w:instrText>
                    </w:r>
                    <w:r>
                      <w:fldChar w:fldCharType="separate"/>
                    </w:r>
                    <w:r>
                      <w:rPr>
                        <w:lang w:val="en-US" w:eastAsia="zh-CN"/>
                      </w:rP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81B05">
    <w:pPr>
      <w:pStyle w:val="12"/>
    </w:pPr>
    <w:r>
      <w:rPr>
        <w:rFonts w:hint="eastAsia"/>
      </w:rPr>
      <w:t>大广高速公路新增广平互通及服务设施工程等5个互通项目机电设备采购招标文件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950"/>
    <w:rsid w:val="000F416E"/>
    <w:rsid w:val="00415217"/>
    <w:rsid w:val="005C4A3E"/>
    <w:rsid w:val="00FE5950"/>
    <w:rsid w:val="615A3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14:ligatures w14:val="none"/>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4">
    <w:name w:val="heading 3"/>
    <w:basedOn w:val="1"/>
    <w:next w:val="1"/>
    <w:link w:val="20"/>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14:ligatures w14:val="standardContextual"/>
    </w:rPr>
  </w:style>
  <w:style w:type="paragraph" w:styleId="5">
    <w:name w:val="heading 4"/>
    <w:basedOn w:val="1"/>
    <w:next w:val="1"/>
    <w:link w:val="21"/>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14:ligatures w14:val="standardContextual"/>
    </w:rPr>
  </w:style>
  <w:style w:type="paragraph" w:styleId="6">
    <w:name w:val="heading 5"/>
    <w:basedOn w:val="1"/>
    <w:next w:val="1"/>
    <w:link w:val="22"/>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szCs w:val="24"/>
      <w14:ligatures w14:val="standardContextual"/>
    </w:rPr>
  </w:style>
  <w:style w:type="paragraph" w:styleId="7">
    <w:name w:val="heading 6"/>
    <w:basedOn w:val="1"/>
    <w:next w:val="1"/>
    <w:link w:val="23"/>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14:ligatures w14:val="standardContextual"/>
    </w:rPr>
  </w:style>
  <w:style w:type="paragraph" w:styleId="8">
    <w:name w:val="heading 7"/>
    <w:basedOn w:val="1"/>
    <w:next w:val="1"/>
    <w:link w:val="24"/>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14:ligatures w14:val="standardContextual"/>
    </w:rPr>
  </w:style>
  <w:style w:type="paragraph" w:styleId="9">
    <w:name w:val="heading 8"/>
    <w:basedOn w:val="1"/>
    <w:next w:val="1"/>
    <w:link w:val="25"/>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14:ligatures w14:val="standardContextual"/>
    </w:rPr>
  </w:style>
  <w:style w:type="paragraph" w:styleId="10">
    <w:name w:val="heading 9"/>
    <w:basedOn w:val="1"/>
    <w:next w:val="1"/>
    <w:link w:val="26"/>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14:ligatures w14:val="standardContextua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jc w:val="left"/>
    </w:pPr>
    <w:rPr>
      <w:kern w:val="0"/>
      <w:sz w:val="18"/>
      <w:szCs w:val="18"/>
    </w:rPr>
  </w:style>
  <w:style w:type="paragraph" w:styleId="12">
    <w:name w:val="header"/>
    <w:basedOn w:val="1"/>
    <w:link w:val="3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character" w:customStyle="1" w:styleId="17">
    <w:name w:val="样式 四号 加粗"/>
    <w:basedOn w:val="16"/>
    <w:uiPriority w:val="0"/>
    <w:rPr>
      <w:b/>
      <w:bCs/>
      <w:kern w:val="0"/>
      <w:sz w:val="28"/>
    </w:rPr>
  </w:style>
  <w:style w:type="character" w:customStyle="1" w:styleId="18">
    <w:name w:val="标题 1 字符"/>
    <w:basedOn w:val="16"/>
    <w:link w:val="2"/>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6"/>
    <w:link w:val="3"/>
    <w:semiHidden/>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6"/>
    <w:link w:val="4"/>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6"/>
    <w:link w:val="5"/>
    <w:semiHidden/>
    <w:uiPriority w:val="9"/>
    <w:rPr>
      <w:rFonts w:cstheme="majorBidi"/>
      <w:color w:val="104862" w:themeColor="accent1" w:themeShade="BF"/>
      <w:sz w:val="28"/>
      <w:szCs w:val="28"/>
    </w:rPr>
  </w:style>
  <w:style w:type="character" w:customStyle="1" w:styleId="22">
    <w:name w:val="标题 5 字符"/>
    <w:basedOn w:val="16"/>
    <w:link w:val="6"/>
    <w:semiHidden/>
    <w:uiPriority w:val="9"/>
    <w:rPr>
      <w:rFonts w:cstheme="majorBidi"/>
      <w:color w:val="104862" w:themeColor="accent1" w:themeShade="BF"/>
      <w:sz w:val="24"/>
      <w:szCs w:val="24"/>
    </w:rPr>
  </w:style>
  <w:style w:type="character" w:customStyle="1" w:styleId="23">
    <w:name w:val="标题 6 字符"/>
    <w:basedOn w:val="16"/>
    <w:link w:val="7"/>
    <w:semiHidden/>
    <w:uiPriority w:val="9"/>
    <w:rPr>
      <w:rFonts w:cstheme="majorBidi"/>
      <w:b/>
      <w:bCs/>
      <w:color w:val="104862" w:themeColor="accent1" w:themeShade="BF"/>
    </w:rPr>
  </w:style>
  <w:style w:type="character" w:customStyle="1" w:styleId="24">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8">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rFonts w:asciiTheme="minorHAnsi" w:hAnsiTheme="minorHAnsi" w:eastAsiaTheme="minorEastAsia" w:cstheme="minorBidi"/>
      <w:i/>
      <w:iCs/>
      <w:color w:val="404040" w:themeColor="text1" w:themeTint="BF"/>
      <w14:textFill>
        <w14:solidFill>
          <w14:schemeClr w14:val="tx1">
            <w14:lumMod w14:val="75000"/>
            <w14:lumOff w14:val="25000"/>
          </w14:schemeClr>
        </w14:solidFill>
      </w14:textFill>
      <w14:ligatures w14:val="standardContextual"/>
    </w:rPr>
  </w:style>
  <w:style w:type="character" w:customStyle="1" w:styleId="30">
    <w:name w:val="引用 字符"/>
    <w:basedOn w:val="16"/>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rPr>
      <w:rFonts w:asciiTheme="minorHAnsi" w:hAnsiTheme="minorHAnsi" w:eastAsiaTheme="minorEastAsia" w:cstheme="minorBidi"/>
      <w14:ligatures w14:val="standardContextual"/>
    </w:rPr>
  </w:style>
  <w:style w:type="character" w:customStyle="1" w:styleId="32">
    <w:name w:val="Intense Emphasis"/>
    <w:basedOn w:val="16"/>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rFonts w:asciiTheme="minorHAnsi" w:hAnsiTheme="minorHAnsi" w:eastAsiaTheme="minorEastAsia" w:cstheme="minorBidi"/>
      <w:i/>
      <w:iCs/>
      <w:color w:val="104862" w:themeColor="accent1" w:themeShade="BF"/>
      <w14:ligatures w14:val="standardContextual"/>
    </w:rPr>
  </w:style>
  <w:style w:type="character" w:customStyle="1" w:styleId="34">
    <w:name w:val="明显引用 字符"/>
    <w:basedOn w:val="16"/>
    <w:link w:val="33"/>
    <w:uiPriority w:val="30"/>
    <w:rPr>
      <w:i/>
      <w:iCs/>
      <w:color w:val="104862" w:themeColor="accent1" w:themeShade="BF"/>
    </w:rPr>
  </w:style>
  <w:style w:type="character" w:customStyle="1" w:styleId="35">
    <w:name w:val="Intense Reference"/>
    <w:basedOn w:val="16"/>
    <w:qFormat/>
    <w:uiPriority w:val="32"/>
    <w:rPr>
      <w:b/>
      <w:bCs/>
      <w:smallCaps/>
      <w:color w:val="104862" w:themeColor="accent1" w:themeShade="BF"/>
      <w:spacing w:val="5"/>
    </w:rPr>
  </w:style>
  <w:style w:type="character" w:customStyle="1" w:styleId="36">
    <w:name w:val="页脚 字符"/>
    <w:basedOn w:val="16"/>
    <w:semiHidden/>
    <w:uiPriority w:val="99"/>
    <w:rPr>
      <w:rFonts w:ascii="Times New Roman" w:hAnsi="Times New Roman" w:eastAsia="宋体" w:cs="Times New Roman"/>
      <w:sz w:val="18"/>
      <w:szCs w:val="18"/>
      <w14:ligatures w14:val="none"/>
    </w:rPr>
  </w:style>
  <w:style w:type="character" w:customStyle="1" w:styleId="37">
    <w:name w:val="页脚 字符1"/>
    <w:link w:val="11"/>
    <w:qFormat/>
    <w:uiPriority w:val="99"/>
    <w:rPr>
      <w:rFonts w:ascii="Times New Roman" w:hAnsi="Times New Roman" w:eastAsia="宋体" w:cs="Times New Roman"/>
      <w:kern w:val="0"/>
      <w:sz w:val="18"/>
      <w:szCs w:val="18"/>
      <w14:ligatures w14:val="none"/>
    </w:rPr>
  </w:style>
  <w:style w:type="character" w:customStyle="1" w:styleId="38">
    <w:name w:val="页眉 字符"/>
    <w:basedOn w:val="16"/>
    <w:semiHidden/>
    <w:uiPriority w:val="99"/>
    <w:rPr>
      <w:rFonts w:ascii="Times New Roman" w:hAnsi="Times New Roman" w:eastAsia="宋体" w:cs="Times New Roman"/>
      <w:sz w:val="18"/>
      <w:szCs w:val="18"/>
      <w14:ligatures w14:val="none"/>
    </w:rPr>
  </w:style>
  <w:style w:type="character" w:customStyle="1" w:styleId="39">
    <w:name w:val="页眉 字符1"/>
    <w:link w:val="12"/>
    <w:uiPriority w:val="99"/>
    <w:rPr>
      <w:rFonts w:ascii="Times New Roman" w:hAnsi="Times New Roman" w:eastAsia="宋体" w:cs="Times New Roman"/>
      <w:kern w:val="0"/>
      <w:sz w:val="18"/>
      <w:szCs w:val="18"/>
      <w14:ligatures w14:val="none"/>
    </w:rPr>
  </w:style>
  <w:style w:type="paragraph" w:customStyle="1" w:styleId="40">
    <w:name w:val="Table Text"/>
    <w:basedOn w:val="1"/>
    <w:semiHidden/>
    <w:qFormat/>
    <w:uiPriority w:val="0"/>
    <w:rPr>
      <w:rFonts w:ascii="宋体" w:hAnsi="宋体" w:cs="宋体"/>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5524</Words>
  <Characters>6156</Characters>
  <Lines>180</Lines>
  <Paragraphs>209</Paragraphs>
  <TotalTime>3</TotalTime>
  <ScaleCrop>false</ScaleCrop>
  <LinksUpToDate>false</LinksUpToDate>
  <CharactersWithSpaces>6241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2025-09-02T14:06:00Z</dcterms:created>
  <dc:creator>honru Liang</dc:creator>
  <cp:lastModifiedBy>冯士峰</cp:lastModifiedBy>
  <cp:lastPrinted>2025-09-02T14:06:00Z</cp:lastPrinted>
  <dcterms:modified xsi:type="dcterms:W3CDTF">2025-09-04T02:44:16Z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eyJoZGlkIjoiMjNhMGNiNzBmYzRmYmU1YWU1ZDVjYzI3MTI0YTIzZjQiLCJ1c2VySWQiOiIxNjg3ODQzOTczIn0=</vt:lpwstr>
  </property>
  <property fmtid="{D5CDD505-2E9C-101B-9397-08002B2CF9AE}" pid="3" name="KSOProductBuildVer">
    <vt:lpwstr>2052-12.1.0.22529</vt:lpwstr>
  </property>
  <property fmtid="{D5CDD505-2E9C-101B-9397-08002B2CF9AE}" pid="4" name="ICV">
    <vt:lpwstr>8695551FD8D844239F8CB50A8BB9A601_12</vt:lpwstr>
  </property>
</Properties>
</file>